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F2" w:rsidRDefault="00B255F2" w:rsidP="00B255F2">
      <w:pPr>
        <w:jc w:val="center"/>
      </w:pPr>
      <w:r>
        <w:rPr>
          <w:noProof/>
          <w:color w:val="00009C"/>
          <w:sz w:val="27"/>
          <w:szCs w:val="27"/>
        </w:rPr>
        <w:drawing>
          <wp:inline distT="0" distB="0" distL="0" distR="0" wp14:anchorId="35684B9F" wp14:editId="7D29D66B">
            <wp:extent cx="904875" cy="904875"/>
            <wp:effectExtent l="0" t="0" r="9525" b="9525"/>
            <wp:docPr id="1" name="Picture 1" descr="BC Se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 Se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F2" w:rsidRPr="00B255F2" w:rsidRDefault="00B255F2" w:rsidP="00F77B86">
      <w:pPr>
        <w:spacing w:line="480" w:lineRule="auto"/>
        <w:jc w:val="center"/>
        <w:rPr>
          <w:b/>
          <w:sz w:val="24"/>
          <w:szCs w:val="24"/>
        </w:rPr>
      </w:pPr>
      <w:r w:rsidRPr="00B255F2">
        <w:rPr>
          <w:b/>
          <w:sz w:val="24"/>
          <w:szCs w:val="24"/>
        </w:rPr>
        <w:t>Salary Budget Transfer Policies</w:t>
      </w:r>
      <w:r w:rsidR="00CB359C">
        <w:rPr>
          <w:b/>
          <w:sz w:val="24"/>
          <w:szCs w:val="24"/>
        </w:rPr>
        <w:t xml:space="preserve"> </w:t>
      </w:r>
      <w:r w:rsidR="00F77B86" w:rsidRPr="00F77B86">
        <w:rPr>
          <w:b/>
          <w:sz w:val="20"/>
          <w:szCs w:val="20"/>
        </w:rPr>
        <w:t>(Funds 1xx &amp; 3xx)</w:t>
      </w:r>
    </w:p>
    <w:p w:rsidR="00341418" w:rsidRPr="004630F7" w:rsidRDefault="00210D5C" w:rsidP="00210D5C">
      <w:pPr>
        <w:pStyle w:val="ListParagraph"/>
      </w:pPr>
      <w:r>
        <w:t xml:space="preserve">The </w:t>
      </w:r>
      <w:r w:rsidR="00A81ADF">
        <w:t>P</w:t>
      </w:r>
      <w:r>
        <w:t>eople</w:t>
      </w:r>
      <w:r w:rsidR="00A81ADF">
        <w:t>Soft Financials w</w:t>
      </w:r>
      <w:r w:rsidR="00691E36">
        <w:t xml:space="preserve">orkflow currently requires all </w:t>
      </w:r>
      <w:r w:rsidR="00A81ADF">
        <w:t xml:space="preserve">operating </w:t>
      </w:r>
      <w:r w:rsidR="00691E36">
        <w:t xml:space="preserve">budget transfers involving salary lines to route to </w:t>
      </w:r>
      <w:r w:rsidR="00A81ADF">
        <w:t xml:space="preserve">the University </w:t>
      </w:r>
      <w:r w:rsidR="00691E36">
        <w:t xml:space="preserve">Budget </w:t>
      </w:r>
      <w:r w:rsidR="00A81ADF">
        <w:t xml:space="preserve">Office </w:t>
      </w:r>
      <w:r w:rsidR="00691E36">
        <w:t>for approval.  The</w:t>
      </w:r>
      <w:r w:rsidR="006E0ECB">
        <w:t xml:space="preserve"> Provost office will </w:t>
      </w:r>
      <w:r w:rsidR="00F354A6">
        <w:t xml:space="preserve">be </w:t>
      </w:r>
      <w:r w:rsidR="00F354A6" w:rsidRPr="00F354A6">
        <w:rPr>
          <w:u w:val="single"/>
        </w:rPr>
        <w:t>added</w:t>
      </w:r>
      <w:r w:rsidR="00F354A6">
        <w:t xml:space="preserve"> as</w:t>
      </w:r>
      <w:r w:rsidR="006E0ECB">
        <w:t xml:space="preserve"> part of </w:t>
      </w:r>
      <w:r>
        <w:t xml:space="preserve">the </w:t>
      </w:r>
      <w:r w:rsidR="006E0ECB">
        <w:t xml:space="preserve">salary transfer workflow </w:t>
      </w:r>
      <w:r w:rsidR="00691E36">
        <w:t xml:space="preserve">approval </w:t>
      </w:r>
      <w:r>
        <w:t xml:space="preserve">process </w:t>
      </w:r>
      <w:r w:rsidR="00F354A6">
        <w:t>(</w:t>
      </w:r>
      <w:r w:rsidR="00A81ADF">
        <w:t>prior to Budget</w:t>
      </w:r>
      <w:r w:rsidR="00F354A6">
        <w:t>)</w:t>
      </w:r>
      <w:r w:rsidR="00A81ADF">
        <w:t xml:space="preserve"> </w:t>
      </w:r>
      <w:r w:rsidR="006E0ECB">
        <w:t xml:space="preserve">for all </w:t>
      </w:r>
      <w:r w:rsidR="006E0ECB" w:rsidRPr="00F354A6">
        <w:rPr>
          <w:u w:val="single"/>
        </w:rPr>
        <w:t>academic department</w:t>
      </w:r>
      <w:r w:rsidR="006E0ECB">
        <w:t xml:space="preserve"> </w:t>
      </w:r>
      <w:r w:rsidR="00691E36">
        <w:t xml:space="preserve">salary </w:t>
      </w:r>
      <w:r w:rsidR="006E0ECB">
        <w:t>transfers</w:t>
      </w:r>
      <w:r w:rsidR="00F354A6">
        <w:t>.</w:t>
      </w:r>
      <w:r w:rsidR="006E0ECB">
        <w:t xml:space="preserve"> </w:t>
      </w:r>
      <w:r w:rsidR="00F354A6">
        <w:t xml:space="preserve">This includes </w:t>
      </w:r>
      <w:r w:rsidR="00F354A6" w:rsidRPr="004630F7">
        <w:rPr>
          <w:u w:val="single"/>
        </w:rPr>
        <w:t>all permanent</w:t>
      </w:r>
      <w:r w:rsidR="00FB7F56" w:rsidRPr="004630F7">
        <w:t xml:space="preserve"> transfers</w:t>
      </w:r>
      <w:r w:rsidR="00FB7F56">
        <w:t xml:space="preserve"> an</w:t>
      </w:r>
      <w:r w:rsidR="00927E2D">
        <w:t xml:space="preserve"> </w:t>
      </w:r>
      <w:r w:rsidR="00FB7F56">
        <w:t xml:space="preserve">d also </w:t>
      </w:r>
      <w:r w:rsidR="00F354A6" w:rsidRPr="004630F7">
        <w:t xml:space="preserve">temporary transfers </w:t>
      </w:r>
      <w:r w:rsidR="00FB7F56" w:rsidRPr="004630F7">
        <w:t>that are processed using</w:t>
      </w:r>
      <w:r w:rsidR="006E0ECB" w:rsidRPr="004630F7">
        <w:t xml:space="preserve"> the following salary accounts:</w:t>
      </w:r>
    </w:p>
    <w:p w:rsidR="006E0ECB" w:rsidRPr="004630F7" w:rsidRDefault="006E0ECB" w:rsidP="006E0ECB">
      <w:pPr>
        <w:pStyle w:val="ListParagraph"/>
        <w:numPr>
          <w:ilvl w:val="1"/>
          <w:numId w:val="1"/>
        </w:numPr>
      </w:pPr>
      <w:r w:rsidRPr="004630F7">
        <w:t>all position</w:t>
      </w:r>
      <w:r w:rsidR="00691E36" w:rsidRPr="004630F7">
        <w:t xml:space="preserve"> lines</w:t>
      </w:r>
      <w:r w:rsidRPr="004630F7">
        <w:t xml:space="preserve"> (5</w:t>
      </w:r>
      <w:r w:rsidR="008C6FAC" w:rsidRPr="004630F7">
        <w:t>0100</w:t>
      </w:r>
      <w:r w:rsidRPr="004630F7">
        <w:t xml:space="preserve"> thru 53140)</w:t>
      </w:r>
    </w:p>
    <w:p w:rsidR="006E0ECB" w:rsidRPr="004630F7" w:rsidRDefault="008C6FAC" w:rsidP="006E0ECB">
      <w:pPr>
        <w:pStyle w:val="ListParagraph"/>
        <w:numPr>
          <w:ilvl w:val="1"/>
          <w:numId w:val="1"/>
        </w:numPr>
      </w:pPr>
      <w:r w:rsidRPr="004630F7">
        <w:t>part-time faculty (53110)</w:t>
      </w:r>
    </w:p>
    <w:p w:rsidR="008C6FAC" w:rsidRPr="004630F7" w:rsidRDefault="00691E36" w:rsidP="006E0ECB">
      <w:pPr>
        <w:pStyle w:val="ListParagraph"/>
        <w:numPr>
          <w:ilvl w:val="1"/>
          <w:numId w:val="1"/>
        </w:numPr>
      </w:pPr>
      <w:r w:rsidRPr="004630F7">
        <w:t>salaries other (54000)</w:t>
      </w:r>
    </w:p>
    <w:p w:rsidR="00691E36" w:rsidRPr="004630F7" w:rsidRDefault="00691E36" w:rsidP="006E0ECB">
      <w:pPr>
        <w:pStyle w:val="ListParagraph"/>
        <w:numPr>
          <w:ilvl w:val="1"/>
          <w:numId w:val="1"/>
        </w:numPr>
      </w:pPr>
      <w:r w:rsidRPr="004630F7">
        <w:t>salaries supplemental (54010)</w:t>
      </w:r>
    </w:p>
    <w:p w:rsidR="00691E36" w:rsidRPr="004630F7" w:rsidRDefault="00691E36" w:rsidP="00FB7F56">
      <w:pPr>
        <w:pStyle w:val="ListParagraph"/>
        <w:numPr>
          <w:ilvl w:val="1"/>
          <w:numId w:val="1"/>
        </w:numPr>
      </w:pPr>
      <w:r w:rsidRPr="004630F7">
        <w:t>salaries cell allowance (54020)</w:t>
      </w:r>
    </w:p>
    <w:p w:rsidR="00691E36" w:rsidRDefault="00691E36" w:rsidP="00691E36">
      <w:pPr>
        <w:pStyle w:val="ListParagraph"/>
        <w:ind w:left="1440"/>
      </w:pPr>
    </w:p>
    <w:p w:rsidR="00341418" w:rsidRDefault="00691E36" w:rsidP="00210D5C">
      <w:pPr>
        <w:pStyle w:val="ListParagraph"/>
      </w:pPr>
      <w:r w:rsidRPr="00691E36">
        <w:t xml:space="preserve">All salary transfers that are in an operating fund, including those requiring prior Provost approval, </w:t>
      </w:r>
      <w:r w:rsidR="00210D5C">
        <w:t>ultimately</w:t>
      </w:r>
      <w:r w:rsidR="00F354A6">
        <w:t xml:space="preserve"> workflow </w:t>
      </w:r>
      <w:r w:rsidRPr="00691E36">
        <w:t>to the Budget Office for approval</w:t>
      </w:r>
      <w:r w:rsidR="005C46F7">
        <w:t xml:space="preserve">.  </w:t>
      </w:r>
      <w:r w:rsidR="009402C1">
        <w:t xml:space="preserve">Requests to move excess salary funds </w:t>
      </w:r>
      <w:r w:rsidR="00A81ADF">
        <w:t>will be</w:t>
      </w:r>
      <w:r w:rsidR="005C46F7">
        <w:t xml:space="preserve"> reviewed</w:t>
      </w:r>
      <w:r w:rsidR="00A81ADF" w:rsidRPr="00A81ADF">
        <w:t xml:space="preserve"> by the Budget Office</w:t>
      </w:r>
      <w:r w:rsidR="00210D5C">
        <w:t>,</w:t>
      </w:r>
      <w:r w:rsidR="00A81ADF" w:rsidRPr="00A81ADF">
        <w:t xml:space="preserve"> </w:t>
      </w:r>
      <w:r w:rsidR="009402C1">
        <w:t xml:space="preserve">and allowed </w:t>
      </w:r>
      <w:r w:rsidR="00310B8E">
        <w:t>for the following actions</w:t>
      </w:r>
      <w:r w:rsidR="009402C1">
        <w:t>:</w:t>
      </w:r>
      <w:r w:rsidR="00A81ADF" w:rsidRPr="00A81ADF">
        <w:t xml:space="preserve"> </w:t>
      </w:r>
    </w:p>
    <w:p w:rsidR="00FB7F56" w:rsidRDefault="006A08BD" w:rsidP="00C61DD7">
      <w:pPr>
        <w:pStyle w:val="ListParagraph"/>
        <w:numPr>
          <w:ilvl w:val="0"/>
          <w:numId w:val="8"/>
        </w:numPr>
      </w:pPr>
      <w:r>
        <w:t>Funds may be moved</w:t>
      </w:r>
      <w:r w:rsidR="00012725">
        <w:t xml:space="preserve"> </w:t>
      </w:r>
      <w:r>
        <w:t>between</w:t>
      </w:r>
      <w:r w:rsidR="00A81ADF">
        <w:t xml:space="preserve"> instructional lines (e.g. Teaching Assistants, Teaching Fellows, Part-time Facul</w:t>
      </w:r>
      <w:r w:rsidR="00210D5C">
        <w:t xml:space="preserve">ty &amp; Full-time </w:t>
      </w:r>
      <w:r w:rsidR="00A81ADF">
        <w:t xml:space="preserve">Faculty) </w:t>
      </w:r>
    </w:p>
    <w:p w:rsidR="00FB7F56" w:rsidRDefault="00526973" w:rsidP="004F1BF6">
      <w:pPr>
        <w:pStyle w:val="ListParagraph"/>
        <w:numPr>
          <w:ilvl w:val="0"/>
          <w:numId w:val="8"/>
        </w:numPr>
      </w:pPr>
      <w:r>
        <w:t>Funds may</w:t>
      </w:r>
      <w:r w:rsidR="006A08BD">
        <w:t xml:space="preserve"> be moved</w:t>
      </w:r>
      <w:r w:rsidR="00FB7F56">
        <w:t xml:space="preserve"> </w:t>
      </w:r>
      <w:r w:rsidR="00012725">
        <w:t>temporarily</w:t>
      </w:r>
      <w:r w:rsidR="009C022F">
        <w:t xml:space="preserve"> </w:t>
      </w:r>
      <w:r w:rsidR="006A08BD">
        <w:t xml:space="preserve">from instructional lines </w:t>
      </w:r>
      <w:r w:rsidR="009C022F">
        <w:t>to</w:t>
      </w:r>
      <w:r w:rsidR="00A81ADF">
        <w:t xml:space="preserve"> non-service stipends or grad</w:t>
      </w:r>
      <w:r w:rsidR="00012725">
        <w:t>uate tuition remission</w:t>
      </w:r>
      <w:r w:rsidR="00A81ADF">
        <w:t xml:space="preserve"> as part of a grad</w:t>
      </w:r>
      <w:r w:rsidR="00210D5C">
        <w:t>uate</w:t>
      </w:r>
      <w:r w:rsidR="00A81ADF">
        <w:t xml:space="preserve"> aid package</w:t>
      </w:r>
      <w:r w:rsidR="00210D5C">
        <w:t>,</w:t>
      </w:r>
      <w:r w:rsidR="006A08BD">
        <w:t xml:space="preserve"> provided projected tuition revenue is meeting expectations </w:t>
      </w:r>
    </w:p>
    <w:p w:rsidR="00A81ADF" w:rsidRDefault="00A81ADF" w:rsidP="004F1BF6">
      <w:pPr>
        <w:pStyle w:val="ListParagraph"/>
        <w:numPr>
          <w:ilvl w:val="0"/>
          <w:numId w:val="8"/>
        </w:numPr>
      </w:pPr>
      <w:r>
        <w:t>Backfi</w:t>
      </w:r>
      <w:r w:rsidR="001B7AEF">
        <w:t>ll of vacant positions is allowed by</w:t>
      </w:r>
      <w:r>
        <w:t xml:space="preserve"> temp pool</w:t>
      </w:r>
      <w:r w:rsidR="001B7AEF">
        <w:t xml:space="preserve"> personnel</w:t>
      </w:r>
      <w:r>
        <w:t>, temp</w:t>
      </w:r>
      <w:r w:rsidR="001B7AEF">
        <w:t>orary</w:t>
      </w:r>
      <w:r>
        <w:t xml:space="preserve"> positions </w:t>
      </w:r>
      <w:r w:rsidR="002E40F4">
        <w:t xml:space="preserve">or </w:t>
      </w:r>
      <w:r>
        <w:t>temp</w:t>
      </w:r>
      <w:r w:rsidR="001B7AEF">
        <w:t>orary</w:t>
      </w:r>
      <w:r w:rsidR="009F3FF9">
        <w:t xml:space="preserve"> hours/week</w:t>
      </w:r>
      <w:r>
        <w:t xml:space="preserve"> increases in</w:t>
      </w:r>
      <w:r w:rsidR="001B7AEF">
        <w:t xml:space="preserve"> </w:t>
      </w:r>
      <w:r w:rsidR="009F3FF9">
        <w:t xml:space="preserve">part-time positions providing </w:t>
      </w:r>
      <w:r w:rsidR="002E40F4">
        <w:t xml:space="preserve">backfill </w:t>
      </w:r>
      <w:r w:rsidR="001B7AEF">
        <w:t xml:space="preserve"> </w:t>
      </w:r>
    </w:p>
    <w:p w:rsidR="00A81ADF" w:rsidRDefault="00A81ADF" w:rsidP="004F1BF6">
      <w:pPr>
        <w:pStyle w:val="ListParagraph"/>
        <w:numPr>
          <w:ilvl w:val="0"/>
          <w:numId w:val="8"/>
        </w:numPr>
      </w:pPr>
      <w:r>
        <w:t xml:space="preserve">Backfill of vacant positions </w:t>
      </w:r>
      <w:r w:rsidR="00210D5C">
        <w:t>by external consultants</w:t>
      </w:r>
    </w:p>
    <w:p w:rsidR="00A81ADF" w:rsidRDefault="009F3FF9" w:rsidP="004F1BF6">
      <w:pPr>
        <w:pStyle w:val="ListParagraph"/>
        <w:numPr>
          <w:ilvl w:val="0"/>
          <w:numId w:val="8"/>
        </w:numPr>
      </w:pPr>
      <w:r>
        <w:t>Funding</w:t>
      </w:r>
      <w:r w:rsidR="00A81ADF">
        <w:t xml:space="preserve"> of faculty summer salaries</w:t>
      </w:r>
    </w:p>
    <w:p w:rsidR="00A81ADF" w:rsidRDefault="009F3FF9" w:rsidP="004F1BF6">
      <w:pPr>
        <w:pStyle w:val="ListParagraph"/>
        <w:numPr>
          <w:ilvl w:val="0"/>
          <w:numId w:val="8"/>
        </w:numPr>
      </w:pPr>
      <w:r>
        <w:t>Funding</w:t>
      </w:r>
      <w:r w:rsidR="00A81ADF">
        <w:t xml:space="preserve"> of severance</w:t>
      </w:r>
      <w:r>
        <w:t xml:space="preserve"> costs</w:t>
      </w:r>
    </w:p>
    <w:p w:rsidR="00A81ADF" w:rsidRDefault="006A08BD" w:rsidP="004F1BF6">
      <w:pPr>
        <w:pStyle w:val="ListParagraph"/>
        <w:numPr>
          <w:ilvl w:val="0"/>
          <w:numId w:val="8"/>
        </w:numPr>
      </w:pPr>
      <w:r>
        <w:t xml:space="preserve">Funds may be moved between non-positioned salary lines </w:t>
      </w:r>
      <w:r w:rsidR="009F3FF9">
        <w:t>(</w:t>
      </w:r>
      <w:r w:rsidR="00A81ADF">
        <w:t xml:space="preserve">e.g. supplementals to other </w:t>
      </w:r>
      <w:r w:rsidR="009F3FF9">
        <w:t>salaries, temp pool to students)</w:t>
      </w:r>
      <w:r w:rsidR="009F3FF9" w:rsidRPr="009F3FF9">
        <w:t xml:space="preserve"> </w:t>
      </w:r>
      <w:r w:rsidR="009F3FF9">
        <w:t>but not out of salaries</w:t>
      </w:r>
    </w:p>
    <w:p w:rsidR="00B255F2" w:rsidRDefault="00A81ADF" w:rsidP="00B31229">
      <w:pPr>
        <w:pStyle w:val="ListParagraph"/>
        <w:numPr>
          <w:ilvl w:val="0"/>
          <w:numId w:val="8"/>
        </w:numPr>
      </w:pPr>
      <w:r>
        <w:t>Ad-hoc</w:t>
      </w:r>
      <w:r w:rsidR="009402C1">
        <w:t xml:space="preserve"> movement</w:t>
      </w:r>
      <w:r w:rsidR="00AF2353">
        <w:t xml:space="preserve"> of</w:t>
      </w:r>
      <w:r w:rsidR="00A840F9">
        <w:t xml:space="preserve"> </w:t>
      </w:r>
      <w:r w:rsidR="00526973">
        <w:t xml:space="preserve">salary funding </w:t>
      </w:r>
      <w:r w:rsidR="00AF2353">
        <w:t>for</w:t>
      </w:r>
      <w:r w:rsidR="00526973">
        <w:t xml:space="preserve"> </w:t>
      </w:r>
      <w:r>
        <w:t>discretionary operating nee</w:t>
      </w:r>
      <w:r w:rsidR="00FF018B">
        <w:t>ds</w:t>
      </w:r>
      <w:r w:rsidR="00657D20">
        <w:t xml:space="preserve"> will be addressed </w:t>
      </w:r>
      <w:r w:rsidR="009402C1">
        <w:t xml:space="preserve">on an </w:t>
      </w:r>
      <w:r w:rsidR="00AF2353">
        <w:t xml:space="preserve">exception </w:t>
      </w:r>
      <w:r w:rsidR="009402C1">
        <w:t xml:space="preserve">basis </w:t>
      </w:r>
      <w:r w:rsidR="00AF2353">
        <w:t xml:space="preserve">with pre-approval </w:t>
      </w:r>
      <w:r w:rsidR="009402C1">
        <w:t>by</w:t>
      </w:r>
      <w:r w:rsidR="00AF2353">
        <w:t xml:space="preserve"> </w:t>
      </w:r>
      <w:r w:rsidR="009F3FF9">
        <w:t>senior</w:t>
      </w:r>
      <w:r w:rsidR="00AF2353">
        <w:t xml:space="preserve"> division administration and the FVP</w:t>
      </w:r>
    </w:p>
    <w:p w:rsidR="00341418" w:rsidRDefault="00B92421" w:rsidP="00B31229">
      <w:pPr>
        <w:spacing w:before="240" w:after="0"/>
        <w:ind w:firstLine="720"/>
      </w:pPr>
      <w:r>
        <w:t xml:space="preserve">Note that </w:t>
      </w:r>
      <w:r w:rsidR="00341418">
        <w:t>existing</w:t>
      </w:r>
      <w:r w:rsidR="003F6CCD">
        <w:t xml:space="preserve"> </w:t>
      </w:r>
      <w:r>
        <w:t>salary transfer</w:t>
      </w:r>
      <w:r w:rsidR="006A08BD">
        <w:t xml:space="preserve"> policies</w:t>
      </w:r>
      <w:r w:rsidR="003F6CCD">
        <w:t xml:space="preserve"> still apply:</w:t>
      </w:r>
    </w:p>
    <w:p w:rsidR="008E6081" w:rsidRDefault="00F77B86" w:rsidP="008E6081">
      <w:pPr>
        <w:pStyle w:val="ListParagraph"/>
        <w:numPr>
          <w:ilvl w:val="0"/>
          <w:numId w:val="6"/>
        </w:numPr>
      </w:pPr>
      <w:r>
        <w:t>N</w:t>
      </w:r>
      <w:r w:rsidR="003F6CCD" w:rsidRPr="00B92421">
        <w:t xml:space="preserve">o transfers </w:t>
      </w:r>
      <w:r w:rsidR="009F3FF9">
        <w:t xml:space="preserve">are </w:t>
      </w:r>
      <w:r w:rsidR="003F6CCD" w:rsidRPr="00B92421">
        <w:t xml:space="preserve">permitted out of </w:t>
      </w:r>
      <w:r w:rsidR="006A08BD">
        <w:t xml:space="preserve">division/VP salary </w:t>
      </w:r>
      <w:r w:rsidR="006A08BD" w:rsidRPr="00976C81">
        <w:rPr>
          <w:u w:val="single"/>
        </w:rPr>
        <w:t>reserves</w:t>
      </w:r>
      <w:r w:rsidR="003F6CCD" w:rsidRPr="00B92421">
        <w:t xml:space="preserve"> to </w:t>
      </w:r>
      <w:r w:rsidR="006A08BD">
        <w:t xml:space="preserve">non-positioned salaries or </w:t>
      </w:r>
      <w:r w:rsidR="003F6CCD" w:rsidRPr="00B92421">
        <w:t>operating</w:t>
      </w:r>
      <w:r w:rsidR="009F3FF9">
        <w:t xml:space="preserve"> expense</w:t>
      </w:r>
    </w:p>
    <w:p w:rsidR="008E6081" w:rsidRDefault="00F77B86" w:rsidP="008E6081">
      <w:pPr>
        <w:pStyle w:val="ListParagraph"/>
        <w:numPr>
          <w:ilvl w:val="0"/>
          <w:numId w:val="6"/>
        </w:numPr>
      </w:pPr>
      <w:r>
        <w:t>N</w:t>
      </w:r>
      <w:r w:rsidR="003F6CCD" w:rsidRPr="00B92421">
        <w:t>o use of division/VP salary reserves to fund new</w:t>
      </w:r>
      <w:r w:rsidR="00AF2353">
        <w:t>,</w:t>
      </w:r>
      <w:r w:rsidR="003F6CCD" w:rsidRPr="00B92421">
        <w:t xml:space="preserve"> </w:t>
      </w:r>
      <w:r w:rsidR="00AF2353">
        <w:t xml:space="preserve">non-faculty </w:t>
      </w:r>
      <w:r w:rsidR="003F6CCD" w:rsidRPr="00B92421">
        <w:t>positions or perm</w:t>
      </w:r>
      <w:r w:rsidR="002C1535">
        <w:t>anent</w:t>
      </w:r>
      <w:r w:rsidR="003F6CCD" w:rsidRPr="00B92421">
        <w:t xml:space="preserve"> increases in hours and weeks without EVP approval</w:t>
      </w:r>
    </w:p>
    <w:p w:rsidR="008E6081" w:rsidRDefault="00F77B86" w:rsidP="008E6081">
      <w:pPr>
        <w:pStyle w:val="ListParagraph"/>
        <w:numPr>
          <w:ilvl w:val="0"/>
          <w:numId w:val="6"/>
        </w:numPr>
      </w:pPr>
      <w:r>
        <w:lastRenderedPageBreak/>
        <w:t>N</w:t>
      </w:r>
      <w:r w:rsidR="003F6CCD" w:rsidRPr="00B92421">
        <w:t>o interchange between faculty and admin</w:t>
      </w:r>
      <w:r w:rsidR="002C1535">
        <w:t>istrative</w:t>
      </w:r>
      <w:r w:rsidR="003F6CCD" w:rsidRPr="00B92421">
        <w:t xml:space="preserve"> </w:t>
      </w:r>
      <w:r w:rsidR="00526973">
        <w:t>reserves</w:t>
      </w:r>
      <w:r w:rsidR="003F6CCD" w:rsidRPr="00B92421">
        <w:t xml:space="preserve"> or positions</w:t>
      </w:r>
    </w:p>
    <w:p w:rsidR="008E6081" w:rsidRDefault="00F77B86" w:rsidP="008E6081">
      <w:pPr>
        <w:pStyle w:val="ListParagraph"/>
        <w:numPr>
          <w:ilvl w:val="0"/>
          <w:numId w:val="6"/>
        </w:numPr>
      </w:pPr>
      <w:r>
        <w:t>P</w:t>
      </w:r>
      <w:r w:rsidR="003F6CCD" w:rsidRPr="00B92421">
        <w:t>erm</w:t>
      </w:r>
      <w:r w:rsidR="002C1535">
        <w:t>anent dollars</w:t>
      </w:r>
      <w:r w:rsidR="003F6CCD" w:rsidRPr="00B92421">
        <w:t xml:space="preserve"> moved from an existing position cannot be structured to leave a small remaining balance to “hold’ a position (</w:t>
      </w:r>
      <w:r w:rsidR="002C1535">
        <w:t xml:space="preserve">old position </w:t>
      </w:r>
      <w:r w:rsidR="003F6CCD" w:rsidRPr="00B92421">
        <w:t xml:space="preserve">must be inactivated) </w:t>
      </w:r>
    </w:p>
    <w:p w:rsidR="008E6081" w:rsidRDefault="00F77B86" w:rsidP="008E6081">
      <w:pPr>
        <w:pStyle w:val="ListParagraph"/>
        <w:numPr>
          <w:ilvl w:val="0"/>
          <w:numId w:val="6"/>
        </w:numPr>
      </w:pPr>
      <w:r>
        <w:t>N</w:t>
      </w:r>
      <w:r w:rsidR="00334C5A">
        <w:t xml:space="preserve">on-faculty </w:t>
      </w:r>
      <w:r w:rsidR="003F6CCD" w:rsidRPr="00B92421">
        <w:t>positions may not be inactivated and funding moved to central reserves without EVP approval</w:t>
      </w:r>
    </w:p>
    <w:p w:rsidR="00526973" w:rsidRDefault="003575A6" w:rsidP="008E6081">
      <w:pPr>
        <w:pStyle w:val="ListParagraph"/>
        <w:numPr>
          <w:ilvl w:val="0"/>
          <w:numId w:val="6"/>
        </w:numPr>
      </w:pPr>
      <w:r>
        <w:t xml:space="preserve">The </w:t>
      </w:r>
      <w:r w:rsidR="00526973">
        <w:t xml:space="preserve">available dollars </w:t>
      </w:r>
      <w:r w:rsidR="00F77B86">
        <w:t>able to be transferred from vacant positions</w:t>
      </w:r>
      <w:r w:rsidR="00526973">
        <w:t xml:space="preserve"> </w:t>
      </w:r>
      <w:r w:rsidR="00F77B86">
        <w:t xml:space="preserve">is limited to </w:t>
      </w:r>
      <w:r>
        <w:t>the year-to-date unused amount</w:t>
      </w:r>
      <w:r w:rsidR="00526973" w:rsidRPr="00F77B86">
        <w:rPr>
          <w:color w:val="FF0000"/>
        </w:rPr>
        <w:t xml:space="preserve"> </w:t>
      </w:r>
    </w:p>
    <w:p w:rsidR="00B92421" w:rsidRDefault="00F77B86" w:rsidP="00724285">
      <w:pPr>
        <w:pStyle w:val="ListParagraph"/>
        <w:numPr>
          <w:ilvl w:val="0"/>
          <w:numId w:val="6"/>
        </w:numPr>
      </w:pPr>
      <w:r>
        <w:t>A</w:t>
      </w:r>
      <w:r w:rsidR="00B92421" w:rsidRPr="00B92421">
        <w:t xml:space="preserve">ll </w:t>
      </w:r>
      <w:r w:rsidR="00526973">
        <w:t xml:space="preserve">departmental </w:t>
      </w:r>
      <w:r w:rsidR="00B92421" w:rsidRPr="00B92421">
        <w:t xml:space="preserve">overruns must be evaluated before excess salary dollars can be used for other purposes (note that some overruns </w:t>
      </w:r>
      <w:r w:rsidR="007B2D51">
        <w:t>may be</w:t>
      </w:r>
      <w:r w:rsidR="00B92421" w:rsidRPr="00B92421">
        <w:t xml:space="preserve"> permissible</w:t>
      </w:r>
      <w:r w:rsidR="00B92421">
        <w:t>)</w:t>
      </w:r>
    </w:p>
    <w:p w:rsidR="00724285" w:rsidRPr="00724285" w:rsidRDefault="00724285" w:rsidP="00724285">
      <w:pPr>
        <w:pStyle w:val="ListParagraph"/>
        <w:ind w:left="1440"/>
      </w:pPr>
    </w:p>
    <w:p w:rsidR="003F6CCD" w:rsidRDefault="002C1535" w:rsidP="00724285">
      <w:pPr>
        <w:ind w:left="720"/>
      </w:pPr>
      <w:r>
        <w:t xml:space="preserve">Transfers that are </w:t>
      </w:r>
      <w:r w:rsidR="00F77B86">
        <w:t>not part of the allowable use</w:t>
      </w:r>
      <w:r>
        <w:t xml:space="preserve"> of excess salary funds</w:t>
      </w:r>
      <w:r w:rsidR="00310B8E">
        <w:t>,</w:t>
      </w:r>
      <w:r>
        <w:t xml:space="preserve"> or are not pr</w:t>
      </w:r>
      <w:r w:rsidR="00334C5A">
        <w:t>e-approved as excep</w:t>
      </w:r>
      <w:r w:rsidR="00310B8E">
        <w:t xml:space="preserve">tions by </w:t>
      </w:r>
      <w:r w:rsidR="00334C5A">
        <w:t xml:space="preserve">division administration and the </w:t>
      </w:r>
      <w:r>
        <w:t>FVP</w:t>
      </w:r>
      <w:r w:rsidR="00310B8E">
        <w:t>,</w:t>
      </w:r>
      <w:r>
        <w:t xml:space="preserve"> will be denied.</w:t>
      </w:r>
      <w:r w:rsidR="00F77B86">
        <w:t xml:space="preserve">  Email approvals of</w:t>
      </w:r>
      <w:r w:rsidR="00526973">
        <w:t xml:space="preserve"> exception</w:t>
      </w:r>
      <w:r w:rsidR="00F77B86">
        <w:t xml:space="preserve"> requests</w:t>
      </w:r>
      <w:r w:rsidR="00526973">
        <w:t xml:space="preserve"> should be att</w:t>
      </w:r>
      <w:bookmarkStart w:id="0" w:name="_GoBack"/>
      <w:bookmarkEnd w:id="0"/>
      <w:r w:rsidR="00526973">
        <w:t>ached to the budget transfer.</w:t>
      </w:r>
    </w:p>
    <w:p w:rsidR="00A81ADF" w:rsidRDefault="00A81ADF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3F6CCD">
      <w:pPr>
        <w:pStyle w:val="ListParagraph"/>
      </w:pPr>
    </w:p>
    <w:p w:rsidR="00C476EB" w:rsidRDefault="00C476EB" w:rsidP="00C476EB">
      <w:pPr>
        <w:pStyle w:val="ListParagraph"/>
        <w:ind w:left="0"/>
      </w:pPr>
    </w:p>
    <w:sectPr w:rsidR="00C476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4F" w:rsidRDefault="007D1D4F" w:rsidP="00F77B86">
      <w:pPr>
        <w:spacing w:after="0" w:line="240" w:lineRule="auto"/>
      </w:pPr>
      <w:r>
        <w:separator/>
      </w:r>
    </w:p>
  </w:endnote>
  <w:endnote w:type="continuationSeparator" w:id="0">
    <w:p w:rsidR="007D1D4F" w:rsidRDefault="007D1D4F" w:rsidP="00F7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86" w:rsidRDefault="00F77B86">
    <w:pPr>
      <w:pStyle w:val="Footer"/>
    </w:pPr>
    <w:r>
      <w:ptab w:relativeTo="margin" w:alignment="center" w:leader="none"/>
    </w:r>
    <w:r>
      <w:ptab w:relativeTo="margin" w:alignment="right" w:leader="none"/>
    </w:r>
    <w:r w:rsidR="004C37C9">
      <w:t>Effective June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4F" w:rsidRDefault="007D1D4F" w:rsidP="00F77B86">
      <w:pPr>
        <w:spacing w:after="0" w:line="240" w:lineRule="auto"/>
      </w:pPr>
      <w:r>
        <w:separator/>
      </w:r>
    </w:p>
  </w:footnote>
  <w:footnote w:type="continuationSeparator" w:id="0">
    <w:p w:rsidR="007D1D4F" w:rsidRDefault="007D1D4F" w:rsidP="00F7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273"/>
    <w:multiLevelType w:val="hybridMultilevel"/>
    <w:tmpl w:val="9D2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D5F"/>
    <w:multiLevelType w:val="hybridMultilevel"/>
    <w:tmpl w:val="151E8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C5AC5"/>
    <w:multiLevelType w:val="hybridMultilevel"/>
    <w:tmpl w:val="135CF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F5F73"/>
    <w:multiLevelType w:val="hybridMultilevel"/>
    <w:tmpl w:val="09B4B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17B2"/>
    <w:multiLevelType w:val="hybridMultilevel"/>
    <w:tmpl w:val="7FC8B05C"/>
    <w:lvl w:ilvl="0" w:tplc="DC6A8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837DE"/>
    <w:multiLevelType w:val="hybridMultilevel"/>
    <w:tmpl w:val="DF22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B5691"/>
    <w:multiLevelType w:val="hybridMultilevel"/>
    <w:tmpl w:val="AB7C525A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E17C08"/>
    <w:multiLevelType w:val="hybridMultilevel"/>
    <w:tmpl w:val="A7841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B"/>
    <w:rsid w:val="00012725"/>
    <w:rsid w:val="00012E53"/>
    <w:rsid w:val="0001500B"/>
    <w:rsid w:val="000848EF"/>
    <w:rsid w:val="001B7AEF"/>
    <w:rsid w:val="0020754A"/>
    <w:rsid w:val="00210D5C"/>
    <w:rsid w:val="00221B5A"/>
    <w:rsid w:val="00224D65"/>
    <w:rsid w:val="002C1535"/>
    <w:rsid w:val="002E40F4"/>
    <w:rsid w:val="00310B8E"/>
    <w:rsid w:val="00334C5A"/>
    <w:rsid w:val="00341418"/>
    <w:rsid w:val="003575A6"/>
    <w:rsid w:val="00380480"/>
    <w:rsid w:val="003F696A"/>
    <w:rsid w:val="003F6CCD"/>
    <w:rsid w:val="00410F17"/>
    <w:rsid w:val="004630F7"/>
    <w:rsid w:val="00477B9D"/>
    <w:rsid w:val="004C37C9"/>
    <w:rsid w:val="004F1BF6"/>
    <w:rsid w:val="00526973"/>
    <w:rsid w:val="0053398B"/>
    <w:rsid w:val="00575862"/>
    <w:rsid w:val="005C46F7"/>
    <w:rsid w:val="005F07FF"/>
    <w:rsid w:val="00657D20"/>
    <w:rsid w:val="00691E36"/>
    <w:rsid w:val="006A08BD"/>
    <w:rsid w:val="006E0ECB"/>
    <w:rsid w:val="00724285"/>
    <w:rsid w:val="007B2D51"/>
    <w:rsid w:val="007D1D4F"/>
    <w:rsid w:val="008007D3"/>
    <w:rsid w:val="00840662"/>
    <w:rsid w:val="008C6FAC"/>
    <w:rsid w:val="008E6081"/>
    <w:rsid w:val="00927E2D"/>
    <w:rsid w:val="009402C1"/>
    <w:rsid w:val="00976C81"/>
    <w:rsid w:val="009C022F"/>
    <w:rsid w:val="009F3FF9"/>
    <w:rsid w:val="00A81ADF"/>
    <w:rsid w:val="00A83F39"/>
    <w:rsid w:val="00A840F9"/>
    <w:rsid w:val="00AF2353"/>
    <w:rsid w:val="00B255F2"/>
    <w:rsid w:val="00B31229"/>
    <w:rsid w:val="00B92421"/>
    <w:rsid w:val="00C476EB"/>
    <w:rsid w:val="00C61DD7"/>
    <w:rsid w:val="00C70504"/>
    <w:rsid w:val="00CB359C"/>
    <w:rsid w:val="00D02C73"/>
    <w:rsid w:val="00DA5A89"/>
    <w:rsid w:val="00DE4397"/>
    <w:rsid w:val="00EA4EA3"/>
    <w:rsid w:val="00F354A6"/>
    <w:rsid w:val="00F7098E"/>
    <w:rsid w:val="00F77B86"/>
    <w:rsid w:val="00FB7F56"/>
    <w:rsid w:val="00FF018B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DDEA4-CAF5-4213-85AE-96AEAC3F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86"/>
  </w:style>
  <w:style w:type="paragraph" w:styleId="Footer">
    <w:name w:val="footer"/>
    <w:basedOn w:val="Normal"/>
    <w:link w:val="FooterChar"/>
    <w:uiPriority w:val="99"/>
    <w:unhideWhenUsed/>
    <w:rsid w:val="00F7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Ryan</dc:creator>
  <cp:keywords/>
  <dc:description/>
  <cp:lastModifiedBy>Jennifer Parsons</cp:lastModifiedBy>
  <cp:revision>4</cp:revision>
  <cp:lastPrinted>2018-06-07T14:42:00Z</cp:lastPrinted>
  <dcterms:created xsi:type="dcterms:W3CDTF">2018-06-07T19:59:00Z</dcterms:created>
  <dcterms:modified xsi:type="dcterms:W3CDTF">2018-06-12T19:08:00Z</dcterms:modified>
</cp:coreProperties>
</file>