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7C" w:rsidRDefault="0061224A" w:rsidP="0074717C">
      <w:pPr>
        <w:widowControl w:val="0"/>
        <w:jc w:val="center"/>
        <w:rPr>
          <w:b/>
        </w:rPr>
      </w:pPr>
      <w:r>
        <w:rPr>
          <w:b/>
        </w:rPr>
        <w:t xml:space="preserve"> </w:t>
      </w:r>
      <w:r w:rsidR="0074717C" w:rsidRPr="00C251CE">
        <w:rPr>
          <w:b/>
        </w:rPr>
        <w:t>Provost</w:t>
      </w:r>
      <w:r w:rsidR="0074717C">
        <w:rPr>
          <w:b/>
        </w:rPr>
        <w:t>'s</w:t>
      </w:r>
      <w:r w:rsidR="0074717C" w:rsidRPr="00C251CE">
        <w:rPr>
          <w:b/>
        </w:rPr>
        <w:t xml:space="preserve"> Advisory Council</w:t>
      </w:r>
    </w:p>
    <w:p w:rsidR="0074717C" w:rsidRDefault="0074717C" w:rsidP="0074717C">
      <w:pPr>
        <w:widowControl w:val="0"/>
        <w:jc w:val="center"/>
        <w:rPr>
          <w:b/>
        </w:rPr>
      </w:pPr>
      <w:r>
        <w:rPr>
          <w:b/>
        </w:rPr>
        <w:t xml:space="preserve">Summary of </w:t>
      </w:r>
      <w:r w:rsidR="00B70CBC">
        <w:rPr>
          <w:b/>
        </w:rPr>
        <w:t>October 27</w:t>
      </w:r>
      <w:r w:rsidR="005F4BCE">
        <w:rPr>
          <w:b/>
        </w:rPr>
        <w:t>,</w:t>
      </w:r>
      <w:r w:rsidR="00BA7B1B">
        <w:rPr>
          <w:b/>
        </w:rPr>
        <w:t xml:space="preserve"> 2011</w:t>
      </w:r>
      <w:r>
        <w:rPr>
          <w:b/>
        </w:rPr>
        <w:t xml:space="preserve"> meeting</w:t>
      </w:r>
    </w:p>
    <w:p w:rsidR="0074717C" w:rsidRDefault="0074717C" w:rsidP="0074717C">
      <w:pPr>
        <w:widowControl w:val="0"/>
        <w:jc w:val="center"/>
        <w:rPr>
          <w:b/>
        </w:rPr>
      </w:pPr>
    </w:p>
    <w:p w:rsidR="0074717C" w:rsidRDefault="0074717C" w:rsidP="0074717C">
      <w:pPr>
        <w:widowControl w:val="0"/>
        <w:jc w:val="center"/>
        <w:rPr>
          <w:b/>
        </w:rPr>
        <w:sectPr w:rsidR="0074717C">
          <w:footerReference w:type="default" r:id="rId8"/>
          <w:type w:val="continuous"/>
          <w:pgSz w:w="12240" w:h="15840"/>
          <w:pgMar w:top="1440" w:right="1440" w:bottom="1440" w:left="1440" w:header="720" w:footer="720" w:gutter="0"/>
          <w:cols w:space="720"/>
          <w:docGrid w:linePitch="360"/>
        </w:sectPr>
      </w:pPr>
    </w:p>
    <w:p w:rsidR="00FA23D0" w:rsidRDefault="00FA23D0" w:rsidP="0074717C">
      <w:pPr>
        <w:widowControl w:val="0"/>
      </w:pPr>
      <w:r>
        <w:lastRenderedPageBreak/>
        <w:t>Bert Garza</w:t>
      </w:r>
    </w:p>
    <w:p w:rsidR="005F4BCE" w:rsidRDefault="005F4BCE" w:rsidP="007E71EC">
      <w:pPr>
        <w:widowControl w:val="0"/>
      </w:pPr>
      <w:r>
        <w:t>Rosanna DeMarco</w:t>
      </w:r>
    </w:p>
    <w:p w:rsidR="00F65DAC" w:rsidRDefault="00FA23D0" w:rsidP="007E71EC">
      <w:pPr>
        <w:widowControl w:val="0"/>
      </w:pPr>
      <w:r>
        <w:t>Pat DeLeeuw</w:t>
      </w:r>
    </w:p>
    <w:p w:rsidR="00F65DAC" w:rsidRDefault="00F65DAC" w:rsidP="007E71EC">
      <w:pPr>
        <w:widowControl w:val="0"/>
      </w:pPr>
      <w:r>
        <w:t>Lillie Albert</w:t>
      </w:r>
    </w:p>
    <w:p w:rsidR="00B70CBC" w:rsidRDefault="00B70CBC" w:rsidP="007E71EC">
      <w:pPr>
        <w:widowControl w:val="0"/>
      </w:pPr>
      <w:r>
        <w:t>Katie O'Dair</w:t>
      </w:r>
    </w:p>
    <w:p w:rsidR="00B70CBC" w:rsidRDefault="00B70CBC" w:rsidP="007E71EC">
      <w:pPr>
        <w:widowControl w:val="0"/>
      </w:pPr>
      <w:r>
        <w:t>Judith Gordon</w:t>
      </w:r>
    </w:p>
    <w:p w:rsidR="00B70CBC" w:rsidRDefault="00B70CBC" w:rsidP="007E71EC">
      <w:pPr>
        <w:widowControl w:val="0"/>
      </w:pPr>
      <w:r>
        <w:t>Gerald Smith</w:t>
      </w:r>
    </w:p>
    <w:p w:rsidR="00B70CBC" w:rsidRDefault="00B70CBC" w:rsidP="007E71EC">
      <w:pPr>
        <w:widowControl w:val="0"/>
      </w:pPr>
      <w:r>
        <w:lastRenderedPageBreak/>
        <w:t>Gilda Morelli</w:t>
      </w:r>
    </w:p>
    <w:p w:rsidR="00B70CBC" w:rsidRDefault="00B70CBC" w:rsidP="007E71EC">
      <w:pPr>
        <w:widowControl w:val="0"/>
      </w:pPr>
      <w:r>
        <w:t>Harrison Kent</w:t>
      </w:r>
    </w:p>
    <w:p w:rsidR="00B70CBC" w:rsidRDefault="00B70CBC" w:rsidP="007E71EC">
      <w:pPr>
        <w:widowControl w:val="0"/>
      </w:pPr>
      <w:r>
        <w:t>Diana Pullin</w:t>
      </w:r>
    </w:p>
    <w:p w:rsidR="00B70CBC" w:rsidRDefault="00B70CBC" w:rsidP="007E71EC">
      <w:pPr>
        <w:widowControl w:val="0"/>
      </w:pPr>
      <w:r>
        <w:t>John Spinard</w:t>
      </w:r>
    </w:p>
    <w:p w:rsidR="00B70CBC" w:rsidRDefault="0054795F" w:rsidP="007E71EC">
      <w:pPr>
        <w:widowControl w:val="0"/>
      </w:pPr>
      <w:r>
        <w:t>Tony</w:t>
      </w:r>
      <w:r w:rsidR="00B70CBC">
        <w:t xml:space="preserve"> Annunziato</w:t>
      </w:r>
    </w:p>
    <w:p w:rsidR="00B70CBC" w:rsidRDefault="00B70CBC" w:rsidP="007E71EC">
      <w:pPr>
        <w:widowControl w:val="0"/>
      </w:pPr>
      <w:r>
        <w:t>Larry McLaughlin</w:t>
      </w:r>
    </w:p>
    <w:p w:rsidR="00B70CBC" w:rsidRDefault="00B70CBC" w:rsidP="007E71EC">
      <w:pPr>
        <w:widowControl w:val="0"/>
      </w:pPr>
      <w:r>
        <w:t>Stephen Pfohl</w:t>
      </w:r>
    </w:p>
    <w:p w:rsidR="00B70CBC" w:rsidRDefault="0054795F" w:rsidP="007E71EC">
      <w:pPr>
        <w:widowControl w:val="0"/>
      </w:pPr>
      <w:r>
        <w:lastRenderedPageBreak/>
        <w:t>Pat</w:t>
      </w:r>
      <w:r w:rsidR="00B70CBC">
        <w:t xml:space="preserve"> Byrne</w:t>
      </w:r>
    </w:p>
    <w:p w:rsidR="00B70CBC" w:rsidRDefault="00B70CBC" w:rsidP="007E71EC">
      <w:pPr>
        <w:widowControl w:val="0"/>
      </w:pPr>
      <w:r>
        <w:t>Tom Wall</w:t>
      </w:r>
    </w:p>
    <w:p w:rsidR="00B70CBC" w:rsidRDefault="00B70CBC" w:rsidP="007E71EC">
      <w:pPr>
        <w:widowControl w:val="0"/>
      </w:pPr>
      <w:r>
        <w:t>Maureen Kenny</w:t>
      </w:r>
    </w:p>
    <w:p w:rsidR="00B70CBC" w:rsidRDefault="00B70CBC" w:rsidP="007E71EC">
      <w:pPr>
        <w:widowControl w:val="0"/>
      </w:pPr>
      <w:r>
        <w:t>Francine Cardman</w:t>
      </w:r>
    </w:p>
    <w:p w:rsidR="00B70CBC" w:rsidRDefault="001643FB" w:rsidP="007E71EC">
      <w:pPr>
        <w:widowControl w:val="0"/>
      </w:pPr>
      <w:r>
        <w:t>Jillian Maxey</w:t>
      </w:r>
    </w:p>
    <w:p w:rsidR="00B70CBC" w:rsidRDefault="00B70CBC" w:rsidP="007E71EC">
      <w:pPr>
        <w:widowControl w:val="0"/>
      </w:pPr>
      <w:r>
        <w:t>Anita Tien</w:t>
      </w:r>
    </w:p>
    <w:p w:rsidR="006E6DEC" w:rsidRDefault="006E6DEC" w:rsidP="00B824AC">
      <w:pPr>
        <w:widowControl w:val="0"/>
        <w:sectPr w:rsidR="006E6DEC">
          <w:type w:val="continuous"/>
          <w:pgSz w:w="12240" w:h="15840"/>
          <w:pgMar w:top="1440" w:right="1440" w:bottom="1440" w:left="1440" w:header="720" w:footer="720" w:gutter="0"/>
          <w:cols w:num="3" w:space="720" w:equalWidth="0">
            <w:col w:w="2760" w:space="720"/>
            <w:col w:w="2400" w:space="720"/>
            <w:col w:w="2760"/>
          </w:cols>
          <w:docGrid w:linePitch="360"/>
        </w:sectPr>
      </w:pPr>
    </w:p>
    <w:p w:rsidR="0074717C" w:rsidRDefault="0074717C"/>
    <w:p w:rsidR="0074717C" w:rsidRDefault="0074717C" w:rsidP="0074717C">
      <w:pPr>
        <w:pBdr>
          <w:top w:val="single" w:sz="4" w:space="1" w:color="auto"/>
        </w:pBdr>
        <w:rPr>
          <w:color w:val="666699"/>
        </w:rPr>
      </w:pPr>
    </w:p>
    <w:p w:rsidR="00140FE4" w:rsidRDefault="0074717C" w:rsidP="00CF3E2A">
      <w:pPr>
        <w:numPr>
          <w:ilvl w:val="0"/>
          <w:numId w:val="1"/>
        </w:numPr>
        <w:rPr>
          <w:color w:val="000000"/>
        </w:rPr>
      </w:pPr>
      <w:r w:rsidRPr="00C66784">
        <w:rPr>
          <w:color w:val="000000"/>
        </w:rPr>
        <w:t xml:space="preserve">The </w:t>
      </w:r>
      <w:r w:rsidR="00756CAC" w:rsidRPr="00C66784">
        <w:rPr>
          <w:color w:val="000000"/>
        </w:rPr>
        <w:t xml:space="preserve">summary </w:t>
      </w:r>
      <w:r w:rsidR="00756CAC">
        <w:rPr>
          <w:color w:val="000000"/>
        </w:rPr>
        <w:t>for</w:t>
      </w:r>
      <w:r w:rsidRPr="00C66784">
        <w:rPr>
          <w:color w:val="000000"/>
        </w:rPr>
        <w:t xml:space="preserve"> the meeting of</w:t>
      </w:r>
      <w:r w:rsidR="0061224A" w:rsidRPr="00C66784">
        <w:rPr>
          <w:color w:val="000000"/>
        </w:rPr>
        <w:t xml:space="preserve"> </w:t>
      </w:r>
      <w:r w:rsidR="00B70CBC">
        <w:rPr>
          <w:color w:val="000000"/>
        </w:rPr>
        <w:t>September 22</w:t>
      </w:r>
      <w:r w:rsidR="00484F59">
        <w:rPr>
          <w:color w:val="000000"/>
        </w:rPr>
        <w:t>, 2011</w:t>
      </w:r>
      <w:r w:rsidRPr="00C66784">
        <w:rPr>
          <w:color w:val="000000"/>
        </w:rPr>
        <w:t xml:space="preserve"> was approved</w:t>
      </w:r>
      <w:r w:rsidR="00DC6347" w:rsidRPr="00C66784">
        <w:rPr>
          <w:color w:val="000000"/>
        </w:rPr>
        <w:t xml:space="preserve">.  </w:t>
      </w:r>
      <w:r w:rsidR="007E71EC" w:rsidRPr="00C66784">
        <w:rPr>
          <w:color w:val="000000"/>
        </w:rPr>
        <w:t>The summary</w:t>
      </w:r>
      <w:r w:rsidR="00FE4085" w:rsidRPr="00C66784">
        <w:rPr>
          <w:color w:val="000000"/>
        </w:rPr>
        <w:t xml:space="preserve"> </w:t>
      </w:r>
      <w:r w:rsidRPr="00C66784">
        <w:rPr>
          <w:color w:val="000000"/>
        </w:rPr>
        <w:t>will be sent to the President's Office.  All summaries are posted on the Provost's Office website; members are encouraged to share the summary with colleagues.</w:t>
      </w:r>
    </w:p>
    <w:p w:rsidR="006E6DEC" w:rsidRDefault="006E6DEC" w:rsidP="006E6DEC">
      <w:pPr>
        <w:rPr>
          <w:color w:val="000000"/>
        </w:rPr>
      </w:pPr>
    </w:p>
    <w:p w:rsidR="002B3CBE" w:rsidRDefault="001643FB" w:rsidP="006E6DEC">
      <w:pPr>
        <w:numPr>
          <w:ilvl w:val="0"/>
          <w:numId w:val="1"/>
        </w:numPr>
        <w:rPr>
          <w:color w:val="000000"/>
        </w:rPr>
      </w:pPr>
      <w:r>
        <w:rPr>
          <w:color w:val="000000"/>
        </w:rPr>
        <w:t xml:space="preserve">Chris Hepburn, Chair of the University Council on Teaching, joined the Provost's Advisory Council for a discussion about peer review of teaching.  </w:t>
      </w:r>
      <w:r w:rsidR="002B3CBE">
        <w:rPr>
          <w:color w:val="000000"/>
        </w:rPr>
        <w:t xml:space="preserve">Guidelines have been developed by the Provost's Office to promote consistency of practice.  </w:t>
      </w:r>
    </w:p>
    <w:p w:rsidR="004A5FF9" w:rsidRDefault="004A5FF9" w:rsidP="004A5FF9">
      <w:pPr>
        <w:pStyle w:val="ListParagraph"/>
        <w:numPr>
          <w:ilvl w:val="0"/>
          <w:numId w:val="13"/>
        </w:numPr>
        <w:rPr>
          <w:color w:val="000000"/>
        </w:rPr>
      </w:pPr>
      <w:r>
        <w:rPr>
          <w:color w:val="000000"/>
        </w:rPr>
        <w:t xml:space="preserve">It was noted that peer evaluation of teaching already takes place across the schools.  </w:t>
      </w:r>
    </w:p>
    <w:p w:rsidR="004A5FF9" w:rsidRDefault="004A5FF9" w:rsidP="004A5FF9">
      <w:pPr>
        <w:pStyle w:val="ListParagraph"/>
        <w:numPr>
          <w:ilvl w:val="0"/>
          <w:numId w:val="13"/>
        </w:numPr>
        <w:rPr>
          <w:color w:val="000000"/>
        </w:rPr>
      </w:pPr>
      <w:r>
        <w:rPr>
          <w:color w:val="000000"/>
        </w:rPr>
        <w:t xml:space="preserve">The general sense of the group was that the guidelines were constructive, reasonable, and practicable.  </w:t>
      </w:r>
    </w:p>
    <w:p w:rsidR="004A5FF9" w:rsidRDefault="004A5FF9" w:rsidP="004A5FF9">
      <w:pPr>
        <w:pStyle w:val="ListParagraph"/>
        <w:numPr>
          <w:ilvl w:val="0"/>
          <w:numId w:val="13"/>
        </w:numPr>
        <w:rPr>
          <w:color w:val="000000"/>
        </w:rPr>
      </w:pPr>
      <w:r>
        <w:rPr>
          <w:color w:val="000000"/>
        </w:rPr>
        <w:t>The guidelines are intended to permit school- and department-specific modifications.</w:t>
      </w:r>
    </w:p>
    <w:p w:rsidR="004A5FF9" w:rsidRDefault="004A5FF9" w:rsidP="004A5FF9">
      <w:pPr>
        <w:pStyle w:val="ListParagraph"/>
        <w:numPr>
          <w:ilvl w:val="0"/>
          <w:numId w:val="13"/>
        </w:numPr>
        <w:rPr>
          <w:color w:val="000000"/>
        </w:rPr>
      </w:pPr>
      <w:r>
        <w:rPr>
          <w:color w:val="000000"/>
        </w:rPr>
        <w:t>The guidelines provide for peer review of the teaching of full-time non-tenure-track faculty, proposing review of those faculty before each contract renewal.  This has not been past practice</w:t>
      </w:r>
      <w:r w:rsidR="007361AF">
        <w:rPr>
          <w:color w:val="000000"/>
        </w:rPr>
        <w:t xml:space="preserve"> </w:t>
      </w:r>
      <w:r w:rsidR="00F30FA7" w:rsidRPr="00F30FA7">
        <w:rPr>
          <w:color w:val="000000" w:themeColor="text1"/>
        </w:rPr>
        <w:t>across the University.</w:t>
      </w:r>
    </w:p>
    <w:p w:rsidR="00FF396B" w:rsidRDefault="004A5FF9" w:rsidP="00D84499">
      <w:pPr>
        <w:pStyle w:val="ListParagraph"/>
        <w:numPr>
          <w:ilvl w:val="0"/>
          <w:numId w:val="13"/>
        </w:numPr>
        <w:rPr>
          <w:color w:val="000000"/>
        </w:rPr>
      </w:pPr>
      <w:r>
        <w:rPr>
          <w:color w:val="000000"/>
        </w:rPr>
        <w:t xml:space="preserve">In the professional schools, faculty should consider how best to implement peer review of clinical teaching.  </w:t>
      </w:r>
    </w:p>
    <w:p w:rsidR="00D84499" w:rsidRDefault="00FF396B" w:rsidP="00D84499">
      <w:pPr>
        <w:pStyle w:val="ListParagraph"/>
        <w:numPr>
          <w:ilvl w:val="0"/>
          <w:numId w:val="13"/>
        </w:numPr>
        <w:rPr>
          <w:color w:val="000000"/>
        </w:rPr>
      </w:pPr>
      <w:r>
        <w:rPr>
          <w:color w:val="000000"/>
        </w:rPr>
        <w:t xml:space="preserve">It was also observed that the optimum frequency for peer review might vary (e.g., pre-tenure peer review </w:t>
      </w:r>
      <w:r w:rsidR="00C0550E">
        <w:rPr>
          <w:color w:val="000000"/>
        </w:rPr>
        <w:t>vs.</w:t>
      </w:r>
      <w:r>
        <w:rPr>
          <w:color w:val="000000"/>
        </w:rPr>
        <w:t xml:space="preserve"> post-tenure review).</w:t>
      </w:r>
    </w:p>
    <w:p w:rsidR="00FF396B" w:rsidRDefault="00FF396B" w:rsidP="00D84499">
      <w:pPr>
        <w:pStyle w:val="ListParagraph"/>
        <w:numPr>
          <w:ilvl w:val="0"/>
          <w:numId w:val="13"/>
        </w:numPr>
        <w:rPr>
          <w:color w:val="000000"/>
        </w:rPr>
      </w:pPr>
      <w:r>
        <w:rPr>
          <w:color w:val="000000"/>
        </w:rPr>
        <w:t>A question was raised about post-tenure peer reviews.  Some faculty noted that post-tenure reviews may be challenging to implement from a variety of perspectives, although the focus on formative (rather than summative) reviews may diffuse concerns</w:t>
      </w:r>
      <w:r w:rsidR="004A5FF9">
        <w:rPr>
          <w:color w:val="000000"/>
        </w:rPr>
        <w:t xml:space="preserve"> among faculty</w:t>
      </w:r>
      <w:r>
        <w:rPr>
          <w:color w:val="000000"/>
        </w:rPr>
        <w:t>.</w:t>
      </w:r>
    </w:p>
    <w:p w:rsidR="00FF396B" w:rsidRDefault="00C22FC0" w:rsidP="00D84499">
      <w:pPr>
        <w:pStyle w:val="ListParagraph"/>
        <w:numPr>
          <w:ilvl w:val="0"/>
          <w:numId w:val="13"/>
        </w:numPr>
        <w:rPr>
          <w:color w:val="000000"/>
        </w:rPr>
      </w:pPr>
      <w:r>
        <w:rPr>
          <w:color w:val="000000"/>
        </w:rPr>
        <w:t xml:space="preserve">It was suggested that in the future, </w:t>
      </w:r>
      <w:r w:rsidR="00B237BB">
        <w:rPr>
          <w:color w:val="000000"/>
        </w:rPr>
        <w:t>evaluation of doctoral students teaching undergraduates should be explored, as well as long-term part-time faculty.</w:t>
      </w:r>
    </w:p>
    <w:p w:rsidR="00B237BB" w:rsidRDefault="00B237BB" w:rsidP="00D84499">
      <w:pPr>
        <w:pStyle w:val="ListParagraph"/>
        <w:numPr>
          <w:ilvl w:val="0"/>
          <w:numId w:val="13"/>
        </w:numPr>
        <w:rPr>
          <w:color w:val="000000"/>
        </w:rPr>
      </w:pPr>
      <w:r>
        <w:rPr>
          <w:color w:val="000000"/>
        </w:rPr>
        <w:t xml:space="preserve">The Provost noted that part-time faculty play essential roles at the University, particularly in the professional schools, where </w:t>
      </w:r>
      <w:r w:rsidR="00FA7782">
        <w:rPr>
          <w:color w:val="000000"/>
        </w:rPr>
        <w:t xml:space="preserve">pedagogy can be enhanced by long-term </w:t>
      </w:r>
      <w:r>
        <w:rPr>
          <w:color w:val="000000"/>
        </w:rPr>
        <w:t xml:space="preserve">part-time faculty </w:t>
      </w:r>
      <w:r w:rsidR="00FA7782">
        <w:rPr>
          <w:color w:val="000000"/>
        </w:rPr>
        <w:t xml:space="preserve">with insights about </w:t>
      </w:r>
      <w:r>
        <w:rPr>
          <w:color w:val="000000"/>
        </w:rPr>
        <w:t xml:space="preserve">practice.  </w:t>
      </w:r>
      <w:r w:rsidR="00FA7782">
        <w:rPr>
          <w:color w:val="000000"/>
        </w:rPr>
        <w:t>They are also important in addressing short-term staffing needs across the University.</w:t>
      </w:r>
    </w:p>
    <w:p w:rsidR="005935E4" w:rsidRDefault="005935E4" w:rsidP="00D84499">
      <w:pPr>
        <w:pStyle w:val="ListParagraph"/>
        <w:numPr>
          <w:ilvl w:val="0"/>
          <w:numId w:val="13"/>
        </w:numPr>
        <w:rPr>
          <w:color w:val="000000"/>
        </w:rPr>
      </w:pPr>
      <w:r w:rsidRPr="005935E4">
        <w:rPr>
          <w:color w:val="000000"/>
        </w:rPr>
        <w:t xml:space="preserve">The Provost's Office is exploring ideas for enhanced support of teaching, including the </w:t>
      </w:r>
      <w:r w:rsidR="00F82F43">
        <w:rPr>
          <w:color w:val="000000"/>
        </w:rPr>
        <w:t xml:space="preserve">possible </w:t>
      </w:r>
      <w:r w:rsidRPr="005935E4">
        <w:rPr>
          <w:color w:val="000000"/>
        </w:rPr>
        <w:t>establishment of a Center for Teaching Innovation.</w:t>
      </w:r>
    </w:p>
    <w:p w:rsidR="00FA7782" w:rsidRDefault="00FA7782" w:rsidP="00780E1E">
      <w:pPr>
        <w:rPr>
          <w:color w:val="000000"/>
        </w:rPr>
      </w:pPr>
    </w:p>
    <w:p w:rsidR="00780E1E" w:rsidRDefault="00780E1E" w:rsidP="00780E1E">
      <w:pPr>
        <w:rPr>
          <w:color w:val="000000"/>
        </w:rPr>
      </w:pPr>
      <w:r>
        <w:rPr>
          <w:color w:val="000000"/>
        </w:rPr>
        <w:t>Next steps:</w:t>
      </w:r>
    </w:p>
    <w:p w:rsidR="00780E1E" w:rsidRDefault="00780E1E" w:rsidP="00B20B55">
      <w:pPr>
        <w:pStyle w:val="ListParagraph"/>
        <w:numPr>
          <w:ilvl w:val="0"/>
          <w:numId w:val="7"/>
        </w:numPr>
        <w:rPr>
          <w:color w:val="000000"/>
        </w:rPr>
      </w:pPr>
      <w:r>
        <w:rPr>
          <w:color w:val="000000"/>
        </w:rPr>
        <w:t>The guidelines will be discussed with department chairs.</w:t>
      </w:r>
    </w:p>
    <w:p w:rsidR="00B20B55" w:rsidRDefault="00B20B55" w:rsidP="00B20B55">
      <w:pPr>
        <w:pStyle w:val="ListParagraph"/>
        <w:numPr>
          <w:ilvl w:val="0"/>
          <w:numId w:val="7"/>
        </w:numPr>
        <w:rPr>
          <w:color w:val="000000"/>
        </w:rPr>
      </w:pPr>
      <w:r>
        <w:rPr>
          <w:color w:val="000000"/>
        </w:rPr>
        <w:t>Implementation plans will be discussed in the Council of Deans.</w:t>
      </w:r>
    </w:p>
    <w:p w:rsidR="00780E1E" w:rsidRDefault="00B20B55" w:rsidP="00B20B55">
      <w:pPr>
        <w:pStyle w:val="ListParagraph"/>
        <w:numPr>
          <w:ilvl w:val="0"/>
          <w:numId w:val="7"/>
        </w:numPr>
        <w:rPr>
          <w:color w:val="000000"/>
        </w:rPr>
      </w:pPr>
      <w:r>
        <w:rPr>
          <w:color w:val="000000"/>
        </w:rPr>
        <w:lastRenderedPageBreak/>
        <w:t>The final text</w:t>
      </w:r>
      <w:r w:rsidR="00780E1E">
        <w:rPr>
          <w:color w:val="000000"/>
        </w:rPr>
        <w:t xml:space="preserve"> will then be included in the Faculty Handbook, with implementation </w:t>
      </w:r>
      <w:r w:rsidR="005935E4">
        <w:rPr>
          <w:color w:val="000000"/>
        </w:rPr>
        <w:t>by</w:t>
      </w:r>
      <w:r w:rsidR="00780E1E">
        <w:rPr>
          <w:color w:val="000000"/>
        </w:rPr>
        <w:t xml:space="preserve"> schools and departments</w:t>
      </w:r>
      <w:r w:rsidR="005935E4">
        <w:rPr>
          <w:color w:val="000000"/>
        </w:rPr>
        <w:t>.</w:t>
      </w:r>
    </w:p>
    <w:p w:rsidR="005935E4" w:rsidRPr="00780E1E" w:rsidRDefault="005935E4" w:rsidP="00B20B55">
      <w:pPr>
        <w:pStyle w:val="ListParagraph"/>
        <w:numPr>
          <w:ilvl w:val="0"/>
          <w:numId w:val="7"/>
        </w:numPr>
        <w:rPr>
          <w:color w:val="000000"/>
        </w:rPr>
      </w:pPr>
      <w:r>
        <w:rPr>
          <w:color w:val="000000"/>
        </w:rPr>
        <w:t>The Provost's Office will continue to discuss ways to support faculty in their teaching.</w:t>
      </w:r>
    </w:p>
    <w:p w:rsidR="00D84499" w:rsidRDefault="00D84499" w:rsidP="00D84499">
      <w:pPr>
        <w:rPr>
          <w:color w:val="000000"/>
        </w:rPr>
      </w:pPr>
    </w:p>
    <w:p w:rsidR="008523CE" w:rsidRPr="00E710F4" w:rsidRDefault="00E710F4" w:rsidP="008523CE">
      <w:pPr>
        <w:pStyle w:val="ListParagraph"/>
        <w:numPr>
          <w:ilvl w:val="0"/>
          <w:numId w:val="1"/>
        </w:numPr>
        <w:rPr>
          <w:color w:val="000000"/>
        </w:rPr>
      </w:pPr>
      <w:r>
        <w:t>Tom Wall, University Librarian, and Jane Morris, Scholarly Communications Librarian, led a discussion with the Council about the Open Access movement.  Several universities (including Harvard University, the Massachusetts Institute of Technology, and Duke University) have policies</w:t>
      </w:r>
      <w:r w:rsidR="00590C8A">
        <w:t xml:space="preserve"> </w:t>
      </w:r>
      <w:r>
        <w:t xml:space="preserve">requiring faculty </w:t>
      </w:r>
      <w:r w:rsidR="00590C8A">
        <w:t xml:space="preserve">to deposit their articles (or </w:t>
      </w:r>
      <w:r>
        <w:t>pre-publication cop</w:t>
      </w:r>
      <w:r w:rsidR="00590C8A">
        <w:t>ies</w:t>
      </w:r>
      <w:r>
        <w:t>) in a</w:t>
      </w:r>
      <w:r w:rsidR="00590C8A">
        <w:t>n Open A</w:t>
      </w:r>
      <w:r>
        <w:t>ccess university repository.  Grant funders (e.g., the National Institutes of Health) are also requiring Open Access.  It should be noted that there are many other levels to Open Access efforts.</w:t>
      </w:r>
      <w:r>
        <w:br/>
      </w:r>
    </w:p>
    <w:p w:rsidR="008523CE" w:rsidRDefault="00E710F4" w:rsidP="00115BCC">
      <w:pPr>
        <w:ind w:left="360"/>
        <w:rPr>
          <w:color w:val="000000"/>
        </w:rPr>
      </w:pPr>
      <w:r>
        <w:t>These initiatives mark a response to the traditional "publisher-takes-all" approach to copyright, which have placed institutions and libraries at a significant budgetary and logistical disadvantage.  Those institutions adopting Open Access policies have done so at the initiation of faculty, to enable broader dissemination of ideas,  showcase University accomplishments, and eliminate economic barriers to access.  There is a waiver or opt-out provision.</w:t>
      </w:r>
    </w:p>
    <w:p w:rsidR="00FB64BC" w:rsidRDefault="00E710F4" w:rsidP="00BC2C64">
      <w:pPr>
        <w:pStyle w:val="ListParagraph"/>
        <w:numPr>
          <w:ilvl w:val="0"/>
          <w:numId w:val="16"/>
        </w:numPr>
        <w:rPr>
          <w:color w:val="000000"/>
        </w:rPr>
      </w:pPr>
      <w:r>
        <w:t>Concerns were expressed about high-impact journals refusing to publish articles unless copyright i</w:t>
      </w:r>
      <w:r w:rsidR="00590C8A">
        <w:t>s</w:t>
      </w:r>
      <w:r>
        <w:t xml:space="preserve"> transferred, </w:t>
      </w:r>
      <w:r w:rsidR="00590C8A">
        <w:t>as well as</w:t>
      </w:r>
      <w:r>
        <w:t xml:space="preserve"> the submission and publishing costs of Open Access journals.</w:t>
      </w:r>
    </w:p>
    <w:p w:rsidR="00BC2C64" w:rsidRDefault="00E710F4" w:rsidP="00BC2C64">
      <w:pPr>
        <w:pStyle w:val="ListParagraph"/>
        <w:numPr>
          <w:ilvl w:val="0"/>
          <w:numId w:val="16"/>
        </w:numPr>
        <w:rPr>
          <w:color w:val="000000"/>
        </w:rPr>
      </w:pPr>
      <w:r>
        <w:t xml:space="preserve">It was noted that requiring pre-tenure faculty to publish in Open Access journals may add even more pressure on those faculty, given the mandate to publish in high-quality refereed journals. </w:t>
      </w:r>
      <w:r w:rsidR="00590C8A">
        <w:t>However, m</w:t>
      </w:r>
      <w:r>
        <w:t>any high quality journals allow simultaneous deposit in an institutional repository.</w:t>
      </w:r>
    </w:p>
    <w:p w:rsidR="00BC2C64" w:rsidRDefault="00E710F4" w:rsidP="00BC2C64">
      <w:pPr>
        <w:pStyle w:val="ListParagraph"/>
        <w:numPr>
          <w:ilvl w:val="0"/>
          <w:numId w:val="16"/>
        </w:numPr>
        <w:rPr>
          <w:color w:val="000000"/>
        </w:rPr>
      </w:pPr>
      <w:r>
        <w:t xml:space="preserve">It was observed that current options for Open Access, the consequences of electing a specific option, and the processes for Open Access are </w:t>
      </w:r>
      <w:r w:rsidR="00590C8A">
        <w:t>complex</w:t>
      </w:r>
      <w:r>
        <w:t xml:space="preserve">.  Leaving it to individual faculty to understand those options, consequences, and processes </w:t>
      </w:r>
      <w:r w:rsidR="00590C8A">
        <w:t>will</w:t>
      </w:r>
      <w:r>
        <w:t xml:space="preserve"> place undue burden on faculty.  Faculty will be unlikely to pursue Open Access as a result.</w:t>
      </w:r>
    </w:p>
    <w:p w:rsidR="00E64DFB" w:rsidRDefault="00E710F4" w:rsidP="00BC2C64">
      <w:pPr>
        <w:pStyle w:val="ListParagraph"/>
        <w:numPr>
          <w:ilvl w:val="0"/>
          <w:numId w:val="16"/>
        </w:numPr>
        <w:rPr>
          <w:color w:val="000000"/>
        </w:rPr>
      </w:pPr>
      <w:r>
        <w:t>Within the Boston College context, a preliminary approach to Open Access might involve asking faculty to place their articles in a repository, making them open access when there is no publisher objection, but available in a BC-only domain where publisher’s policies require it.</w:t>
      </w:r>
      <w:bookmarkStart w:id="0" w:name="_GoBack"/>
      <w:bookmarkEnd w:id="0"/>
      <w:r>
        <w:t xml:space="preserve">  It is anticipated that publishers would be unlikely to oppose this move.</w:t>
      </w:r>
    </w:p>
    <w:p w:rsidR="0030086E" w:rsidRDefault="00E710F4" w:rsidP="00BC2C64">
      <w:pPr>
        <w:pStyle w:val="ListParagraph"/>
        <w:numPr>
          <w:ilvl w:val="0"/>
          <w:numId w:val="16"/>
        </w:numPr>
        <w:rPr>
          <w:color w:val="000000"/>
        </w:rPr>
      </w:pPr>
      <w:r>
        <w:t>It was suggested that it would be helpful to invite staff from institutions that have adopted Open Access policies to Boston College</w:t>
      </w:r>
      <w:r w:rsidR="00590C8A">
        <w:t xml:space="preserve"> to speak about their experiences</w:t>
      </w:r>
      <w:r>
        <w:t>.</w:t>
      </w:r>
    </w:p>
    <w:p w:rsidR="008523CE" w:rsidRPr="008523CE" w:rsidRDefault="008523CE" w:rsidP="008523CE">
      <w:pPr>
        <w:ind w:left="360"/>
        <w:rPr>
          <w:color w:val="000000"/>
        </w:rPr>
      </w:pPr>
    </w:p>
    <w:p w:rsidR="006F3208" w:rsidRDefault="00B23341" w:rsidP="00B23341">
      <w:pPr>
        <w:ind w:left="360"/>
        <w:rPr>
          <w:color w:val="000000"/>
        </w:rPr>
      </w:pPr>
      <w:r>
        <w:rPr>
          <w:color w:val="000000"/>
        </w:rPr>
        <w:t>Next steps:</w:t>
      </w:r>
    </w:p>
    <w:p w:rsidR="00B23341" w:rsidRDefault="0030086E" w:rsidP="00B23341">
      <w:pPr>
        <w:pStyle w:val="ListParagraph"/>
        <w:numPr>
          <w:ilvl w:val="0"/>
          <w:numId w:val="17"/>
        </w:numPr>
        <w:rPr>
          <w:color w:val="000000"/>
        </w:rPr>
      </w:pPr>
      <w:r>
        <w:rPr>
          <w:color w:val="000000"/>
        </w:rPr>
        <w:t>The University Libraries staff will gather more discipline-specific information about Open Access.</w:t>
      </w:r>
    </w:p>
    <w:p w:rsidR="0030086E" w:rsidRPr="0030086E" w:rsidRDefault="00590C8A" w:rsidP="00B23341">
      <w:pPr>
        <w:pStyle w:val="ListParagraph"/>
        <w:numPr>
          <w:ilvl w:val="0"/>
          <w:numId w:val="17"/>
        </w:numPr>
        <w:rPr>
          <w:b/>
          <w:color w:val="000000"/>
        </w:rPr>
      </w:pPr>
      <w:r>
        <w:rPr>
          <w:color w:val="000000"/>
        </w:rPr>
        <w:t>The suggested</w:t>
      </w:r>
      <w:r w:rsidR="004A5FF9">
        <w:rPr>
          <w:color w:val="000000"/>
        </w:rPr>
        <w:t xml:space="preserve"> presentation with professionals from other</w:t>
      </w:r>
      <w:r w:rsidR="0030086E">
        <w:rPr>
          <w:color w:val="000000"/>
        </w:rPr>
        <w:t xml:space="preserve"> institutions will be explored.</w:t>
      </w:r>
    </w:p>
    <w:p w:rsidR="0030086E" w:rsidRPr="0030086E" w:rsidRDefault="0030086E" w:rsidP="00B23341">
      <w:pPr>
        <w:pStyle w:val="ListParagraph"/>
        <w:numPr>
          <w:ilvl w:val="0"/>
          <w:numId w:val="17"/>
        </w:numPr>
        <w:rPr>
          <w:b/>
          <w:color w:val="000000"/>
        </w:rPr>
      </w:pPr>
      <w:r>
        <w:rPr>
          <w:color w:val="000000"/>
        </w:rPr>
        <w:t xml:space="preserve">A </w:t>
      </w:r>
      <w:r w:rsidR="004A5FF9">
        <w:rPr>
          <w:color w:val="000000"/>
        </w:rPr>
        <w:t>discussion</w:t>
      </w:r>
      <w:r>
        <w:rPr>
          <w:color w:val="000000"/>
        </w:rPr>
        <w:t xml:space="preserve"> at the Faculty Forum will be considered.</w:t>
      </w:r>
    </w:p>
    <w:p w:rsidR="0030086E" w:rsidRPr="0030086E" w:rsidRDefault="0030086E" w:rsidP="0030086E">
      <w:pPr>
        <w:pStyle w:val="ListParagraph"/>
        <w:ind w:left="1440"/>
        <w:rPr>
          <w:color w:val="000000"/>
        </w:rPr>
      </w:pPr>
    </w:p>
    <w:p w:rsidR="000D2D85" w:rsidRPr="0030086E" w:rsidRDefault="0042777C" w:rsidP="00CF3E2A">
      <w:pPr>
        <w:numPr>
          <w:ilvl w:val="0"/>
          <w:numId w:val="1"/>
        </w:numPr>
        <w:rPr>
          <w:color w:val="000000" w:themeColor="text1"/>
        </w:rPr>
      </w:pPr>
      <w:r w:rsidRPr="0030086E">
        <w:rPr>
          <w:color w:val="000000" w:themeColor="text1"/>
        </w:rPr>
        <w:t>Provost's Report</w:t>
      </w:r>
    </w:p>
    <w:p w:rsidR="0030086E" w:rsidRDefault="009F414B" w:rsidP="00CF3E2A">
      <w:pPr>
        <w:pStyle w:val="ListParagraph"/>
        <w:numPr>
          <w:ilvl w:val="0"/>
          <w:numId w:val="2"/>
        </w:numPr>
        <w:rPr>
          <w:color w:val="000000" w:themeColor="text1"/>
        </w:rPr>
      </w:pPr>
      <w:r>
        <w:rPr>
          <w:color w:val="000000" w:themeColor="text1"/>
        </w:rPr>
        <w:lastRenderedPageBreak/>
        <w:t xml:space="preserve">In response to questions raised in the Faculty Forum, </w:t>
      </w:r>
      <w:r w:rsidR="0030086E">
        <w:rPr>
          <w:color w:val="000000" w:themeColor="text1"/>
        </w:rPr>
        <w:t>John Spinard and Bert Garza described efforts to develop a budgeting process that is initiated by departmental needs, rather than by the central budget office.</w:t>
      </w:r>
      <w:r w:rsidR="00A546B4">
        <w:rPr>
          <w:color w:val="000000" w:themeColor="text1"/>
        </w:rPr>
        <w:t xml:space="preserve">  The aim is to involve all departments and schools in the budgetary process and to ensure that their </w:t>
      </w:r>
      <w:r>
        <w:rPr>
          <w:color w:val="000000" w:themeColor="text1"/>
        </w:rPr>
        <w:t>projections</w:t>
      </w:r>
      <w:r w:rsidR="00A546B4">
        <w:rPr>
          <w:color w:val="000000" w:themeColor="text1"/>
        </w:rPr>
        <w:t xml:space="preserve"> and priorities are established by the units, rather than the central administration.</w:t>
      </w:r>
      <w:r>
        <w:rPr>
          <w:color w:val="000000" w:themeColor="text1"/>
        </w:rPr>
        <w:t xml:space="preserve">  </w:t>
      </w:r>
    </w:p>
    <w:p w:rsidR="00140FE4" w:rsidRPr="00BC76A9" w:rsidRDefault="00140FE4" w:rsidP="009F414B">
      <w:pPr>
        <w:ind w:left="360"/>
        <w:rPr>
          <w:color w:val="000000" w:themeColor="text1"/>
        </w:rPr>
      </w:pPr>
    </w:p>
    <w:sectPr w:rsidR="00140FE4" w:rsidRPr="00BC76A9" w:rsidSect="0074717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FDC" w:rsidRDefault="00DB3FDC">
      <w:r>
        <w:separator/>
      </w:r>
    </w:p>
  </w:endnote>
  <w:endnote w:type="continuationSeparator" w:id="0">
    <w:p w:rsidR="00DB3FDC" w:rsidRDefault="00DB3F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94" w:rsidRDefault="00EF01F0" w:rsidP="0074717C">
    <w:pPr>
      <w:pStyle w:val="Footer"/>
      <w:jc w:val="center"/>
    </w:pPr>
    <w:r>
      <w:rPr>
        <w:rStyle w:val="PageNumber"/>
      </w:rPr>
      <w:fldChar w:fldCharType="begin"/>
    </w:r>
    <w:r w:rsidR="00131D94">
      <w:rPr>
        <w:rStyle w:val="PageNumber"/>
      </w:rPr>
      <w:instrText xml:space="preserve"> PAGE </w:instrText>
    </w:r>
    <w:r>
      <w:rPr>
        <w:rStyle w:val="PageNumber"/>
      </w:rPr>
      <w:fldChar w:fldCharType="separate"/>
    </w:r>
    <w:r w:rsidR="009307BD">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FDC" w:rsidRDefault="00DB3FDC">
      <w:r>
        <w:separator/>
      </w:r>
    </w:p>
  </w:footnote>
  <w:footnote w:type="continuationSeparator" w:id="0">
    <w:p w:rsidR="00DB3FDC" w:rsidRDefault="00DB3F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6B2"/>
    <w:multiLevelType w:val="hybridMultilevel"/>
    <w:tmpl w:val="FB744698"/>
    <w:lvl w:ilvl="0" w:tplc="E13C7BA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D6473"/>
    <w:multiLevelType w:val="hybridMultilevel"/>
    <w:tmpl w:val="D51C2DBC"/>
    <w:lvl w:ilvl="0" w:tplc="1EBA38BC">
      <w:start w:val="1"/>
      <w:numFmt w:val="decimal"/>
      <w:lvlText w:val="%1."/>
      <w:lvlJc w:val="left"/>
      <w:pPr>
        <w:ind w:left="360" w:hanging="360"/>
      </w:pPr>
      <w:rPr>
        <w:rFonts w:ascii="Times New Roman" w:hAnsi="Times New Roman" w:hint="default"/>
        <w:strike w:val="0"/>
        <w:dstrike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68032E"/>
    <w:multiLevelType w:val="hybridMultilevel"/>
    <w:tmpl w:val="3C6C6CB4"/>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C72207"/>
    <w:multiLevelType w:val="hybridMultilevel"/>
    <w:tmpl w:val="59B85178"/>
    <w:lvl w:ilvl="0" w:tplc="E13C7BA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0731E"/>
    <w:multiLevelType w:val="hybridMultilevel"/>
    <w:tmpl w:val="DCD0BE4A"/>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5E4DE9"/>
    <w:multiLevelType w:val="hybridMultilevel"/>
    <w:tmpl w:val="51BAC1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C8760E"/>
    <w:multiLevelType w:val="hybridMultilevel"/>
    <w:tmpl w:val="D44AC1FA"/>
    <w:lvl w:ilvl="0" w:tplc="1F34870C">
      <w:start w:val="1"/>
      <w:numFmt w:val="decimal"/>
      <w:lvlText w:val="%1."/>
      <w:lvlJc w:val="left"/>
      <w:pPr>
        <w:ind w:left="1440" w:hanging="360"/>
      </w:pPr>
      <w:rPr>
        <w:rFonts w:ascii="Times New Roman" w:hAnsi="Times New Roman" w:hint="default"/>
        <w:b w:val="0"/>
        <w:color w:val="00000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A2763D7"/>
    <w:multiLevelType w:val="hybridMultilevel"/>
    <w:tmpl w:val="021889E8"/>
    <w:lvl w:ilvl="0" w:tplc="E13C7BA4">
      <w:start w:val="1"/>
      <w:numFmt w:val="bullet"/>
      <w:lvlText w:val=""/>
      <w:lvlJc w:val="left"/>
      <w:pPr>
        <w:ind w:left="720" w:hanging="360"/>
      </w:pPr>
      <w:rPr>
        <w:rFonts w:ascii="Symbol" w:hAnsi="Symbol" w:hint="default"/>
        <w:sz w:val="18"/>
      </w:rPr>
    </w:lvl>
    <w:lvl w:ilvl="1" w:tplc="54801928">
      <w:start w:val="1"/>
      <w:numFmt w:val="lowerLetter"/>
      <w:lvlText w:val="%2."/>
      <w:lvlJc w:val="left"/>
      <w:pPr>
        <w:ind w:left="1440" w:hanging="360"/>
      </w:pPr>
      <w:rPr>
        <w:rFonts w:ascii="Times New Roman" w:hAnsi="Times New Roman" w:hint="default"/>
        <w:strike w:val="0"/>
        <w:dstrike w:val="0"/>
        <w:color w:val="000000" w:themeColor="text1"/>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102F52"/>
    <w:multiLevelType w:val="hybridMultilevel"/>
    <w:tmpl w:val="6DC22E02"/>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1D7966"/>
    <w:multiLevelType w:val="hybridMultilevel"/>
    <w:tmpl w:val="3F143164"/>
    <w:lvl w:ilvl="0" w:tplc="1EBA38BC">
      <w:start w:val="1"/>
      <w:numFmt w:val="decimal"/>
      <w:lvlText w:val="%1."/>
      <w:lvlJc w:val="left"/>
      <w:pPr>
        <w:tabs>
          <w:tab w:val="num" w:pos="360"/>
        </w:tabs>
        <w:ind w:left="360" w:hanging="360"/>
      </w:pPr>
      <w:rPr>
        <w:rFonts w:ascii="Times New Roman" w:hAnsi="Times New Roman" w:hint="default"/>
        <w:strike w:val="0"/>
        <w:dstrike w:val="0"/>
        <w:color w:val="000000" w:themeColor="text1"/>
        <w:sz w:val="24"/>
      </w:rPr>
    </w:lvl>
    <w:lvl w:ilvl="1" w:tplc="7C50764E">
      <w:start w:val="1"/>
      <w:numFmt w:val="bullet"/>
      <w:lvlText w:val=""/>
      <w:lvlJc w:val="left"/>
      <w:pPr>
        <w:tabs>
          <w:tab w:val="num" w:pos="360"/>
        </w:tabs>
        <w:ind w:left="360" w:hanging="360"/>
      </w:pPr>
      <w:rPr>
        <w:rFonts w:ascii="Symbol" w:hAnsi="Symbol" w:hint="default"/>
        <w:sz w:val="20"/>
        <w:szCs w:val="20"/>
      </w:rPr>
    </w:lvl>
    <w:lvl w:ilvl="2" w:tplc="E13C7BA4">
      <w:start w:val="1"/>
      <w:numFmt w:val="bullet"/>
      <w:lvlText w:val=""/>
      <w:lvlJc w:val="left"/>
      <w:pPr>
        <w:tabs>
          <w:tab w:val="num" w:pos="1800"/>
        </w:tabs>
        <w:ind w:left="1800" w:hanging="180"/>
      </w:pPr>
      <w:rPr>
        <w:rFonts w:ascii="Symbol" w:hAnsi="Symbol" w:hint="default"/>
        <w:sz w:val="18"/>
      </w:rPr>
    </w:lvl>
    <w:lvl w:ilvl="3" w:tplc="F4E6A380">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2A84245"/>
    <w:multiLevelType w:val="hybridMultilevel"/>
    <w:tmpl w:val="6DC22E02"/>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DC59C1"/>
    <w:multiLevelType w:val="hybridMultilevel"/>
    <w:tmpl w:val="0C0C9A6C"/>
    <w:lvl w:ilvl="0" w:tplc="1EBA38BC">
      <w:start w:val="1"/>
      <w:numFmt w:val="decimal"/>
      <w:lvlText w:val="%1."/>
      <w:lvlJc w:val="left"/>
      <w:pPr>
        <w:ind w:left="360" w:hanging="360"/>
      </w:pPr>
      <w:rPr>
        <w:rFonts w:ascii="Times New Roman" w:hAnsi="Times New Roman" w:hint="default"/>
        <w:strike w:val="0"/>
        <w:dstrike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F32E3E"/>
    <w:multiLevelType w:val="hybridMultilevel"/>
    <w:tmpl w:val="13445876"/>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F64C9E"/>
    <w:multiLevelType w:val="hybridMultilevel"/>
    <w:tmpl w:val="38BAA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8EF358F"/>
    <w:multiLevelType w:val="hybridMultilevel"/>
    <w:tmpl w:val="DE1202AA"/>
    <w:lvl w:ilvl="0" w:tplc="E13C7BA4">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FF2088"/>
    <w:multiLevelType w:val="hybridMultilevel"/>
    <w:tmpl w:val="82E628CE"/>
    <w:lvl w:ilvl="0" w:tplc="E13C7BA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4A3D54"/>
    <w:multiLevelType w:val="hybridMultilevel"/>
    <w:tmpl w:val="FFBC78B0"/>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14"/>
  </w:num>
  <w:num w:numId="4">
    <w:abstractNumId w:val="7"/>
  </w:num>
  <w:num w:numId="5">
    <w:abstractNumId w:val="16"/>
  </w:num>
  <w:num w:numId="6">
    <w:abstractNumId w:val="2"/>
  </w:num>
  <w:num w:numId="7">
    <w:abstractNumId w:val="12"/>
  </w:num>
  <w:num w:numId="8">
    <w:abstractNumId w:val="4"/>
  </w:num>
  <w:num w:numId="9">
    <w:abstractNumId w:val="1"/>
  </w:num>
  <w:num w:numId="10">
    <w:abstractNumId w:val="11"/>
  </w:num>
  <w:num w:numId="11">
    <w:abstractNumId w:val="10"/>
  </w:num>
  <w:num w:numId="12">
    <w:abstractNumId w:val="8"/>
  </w:num>
  <w:num w:numId="13">
    <w:abstractNumId w:val="0"/>
  </w:num>
  <w:num w:numId="14">
    <w:abstractNumId w:val="5"/>
  </w:num>
  <w:num w:numId="15">
    <w:abstractNumId w:val="13"/>
  </w:num>
  <w:num w:numId="16">
    <w:abstractNumId w:val="15"/>
  </w:num>
  <w:num w:numId="1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stylePaneFormatFilter w:val="3701"/>
  <w:trackRevisions/>
  <w:defaultTabStop w:val="720"/>
  <w:characterSpacingControl w:val="doNotCompress"/>
  <w:footnotePr>
    <w:footnote w:id="-1"/>
    <w:footnote w:id="0"/>
  </w:footnotePr>
  <w:endnotePr>
    <w:endnote w:id="-1"/>
    <w:endnote w:id="0"/>
  </w:endnotePr>
  <w:compat/>
  <w:rsids>
    <w:rsidRoot w:val="00813AEC"/>
    <w:rsid w:val="00000273"/>
    <w:rsid w:val="00012A4B"/>
    <w:rsid w:val="000210C5"/>
    <w:rsid w:val="00027D42"/>
    <w:rsid w:val="00035DDC"/>
    <w:rsid w:val="00043449"/>
    <w:rsid w:val="0005589D"/>
    <w:rsid w:val="00055F8E"/>
    <w:rsid w:val="0006592E"/>
    <w:rsid w:val="00076CFC"/>
    <w:rsid w:val="00095BB3"/>
    <w:rsid w:val="000A0EE4"/>
    <w:rsid w:val="000A280D"/>
    <w:rsid w:val="000A4576"/>
    <w:rsid w:val="000B0677"/>
    <w:rsid w:val="000D2A95"/>
    <w:rsid w:val="000D2D85"/>
    <w:rsid w:val="000E163C"/>
    <w:rsid w:val="000F63A6"/>
    <w:rsid w:val="001004C0"/>
    <w:rsid w:val="0011365A"/>
    <w:rsid w:val="00115BCC"/>
    <w:rsid w:val="001163EF"/>
    <w:rsid w:val="0011799F"/>
    <w:rsid w:val="0012449D"/>
    <w:rsid w:val="00131271"/>
    <w:rsid w:val="00131D94"/>
    <w:rsid w:val="00135060"/>
    <w:rsid w:val="00137342"/>
    <w:rsid w:val="00140FE4"/>
    <w:rsid w:val="0015545F"/>
    <w:rsid w:val="0015606F"/>
    <w:rsid w:val="00157BE2"/>
    <w:rsid w:val="001625CD"/>
    <w:rsid w:val="001634AD"/>
    <w:rsid w:val="001643FB"/>
    <w:rsid w:val="0017629F"/>
    <w:rsid w:val="001860A3"/>
    <w:rsid w:val="001949D2"/>
    <w:rsid w:val="001965C7"/>
    <w:rsid w:val="001A138E"/>
    <w:rsid w:val="001B1B8F"/>
    <w:rsid w:val="001B5A40"/>
    <w:rsid w:val="001C57D1"/>
    <w:rsid w:val="001D5748"/>
    <w:rsid w:val="001D60BE"/>
    <w:rsid w:val="001D7D70"/>
    <w:rsid w:val="00204965"/>
    <w:rsid w:val="00220DDA"/>
    <w:rsid w:val="00223A30"/>
    <w:rsid w:val="0022675D"/>
    <w:rsid w:val="00245970"/>
    <w:rsid w:val="002477F9"/>
    <w:rsid w:val="002571B8"/>
    <w:rsid w:val="00263CBA"/>
    <w:rsid w:val="00276306"/>
    <w:rsid w:val="00276E73"/>
    <w:rsid w:val="00285F23"/>
    <w:rsid w:val="0029120C"/>
    <w:rsid w:val="00293197"/>
    <w:rsid w:val="00293B07"/>
    <w:rsid w:val="0029702D"/>
    <w:rsid w:val="002B3CBE"/>
    <w:rsid w:val="002C00DE"/>
    <w:rsid w:val="002C4213"/>
    <w:rsid w:val="002C51DD"/>
    <w:rsid w:val="002D51FB"/>
    <w:rsid w:val="002E31BC"/>
    <w:rsid w:val="002E33B8"/>
    <w:rsid w:val="0030086E"/>
    <w:rsid w:val="00303EBC"/>
    <w:rsid w:val="00310FDD"/>
    <w:rsid w:val="003156B6"/>
    <w:rsid w:val="00322505"/>
    <w:rsid w:val="003225BC"/>
    <w:rsid w:val="003302F6"/>
    <w:rsid w:val="00330F2A"/>
    <w:rsid w:val="00342B39"/>
    <w:rsid w:val="003433C8"/>
    <w:rsid w:val="003506A0"/>
    <w:rsid w:val="0035525C"/>
    <w:rsid w:val="0036085F"/>
    <w:rsid w:val="00361B61"/>
    <w:rsid w:val="00365729"/>
    <w:rsid w:val="00370B64"/>
    <w:rsid w:val="00376572"/>
    <w:rsid w:val="003770A9"/>
    <w:rsid w:val="00377C05"/>
    <w:rsid w:val="00382B67"/>
    <w:rsid w:val="003875B1"/>
    <w:rsid w:val="00391F8A"/>
    <w:rsid w:val="003921B5"/>
    <w:rsid w:val="003A042D"/>
    <w:rsid w:val="003A2D17"/>
    <w:rsid w:val="003A2E28"/>
    <w:rsid w:val="003B2618"/>
    <w:rsid w:val="003B433F"/>
    <w:rsid w:val="003B5442"/>
    <w:rsid w:val="003C11AC"/>
    <w:rsid w:val="003C21F6"/>
    <w:rsid w:val="003C3819"/>
    <w:rsid w:val="003D620F"/>
    <w:rsid w:val="003D6819"/>
    <w:rsid w:val="003E1257"/>
    <w:rsid w:val="003E1A7D"/>
    <w:rsid w:val="003E5DD9"/>
    <w:rsid w:val="003E5ED8"/>
    <w:rsid w:val="003F0311"/>
    <w:rsid w:val="004018D0"/>
    <w:rsid w:val="00401F16"/>
    <w:rsid w:val="00403642"/>
    <w:rsid w:val="00406516"/>
    <w:rsid w:val="00406B55"/>
    <w:rsid w:val="0041197E"/>
    <w:rsid w:val="00417C99"/>
    <w:rsid w:val="00421C3E"/>
    <w:rsid w:val="004233C2"/>
    <w:rsid w:val="0042777C"/>
    <w:rsid w:val="0043688D"/>
    <w:rsid w:val="00443FB8"/>
    <w:rsid w:val="004459E1"/>
    <w:rsid w:val="0047063C"/>
    <w:rsid w:val="00472886"/>
    <w:rsid w:val="0047298E"/>
    <w:rsid w:val="00472B52"/>
    <w:rsid w:val="00481FD6"/>
    <w:rsid w:val="004831DE"/>
    <w:rsid w:val="00484F59"/>
    <w:rsid w:val="004870E6"/>
    <w:rsid w:val="00490F04"/>
    <w:rsid w:val="004A3B2B"/>
    <w:rsid w:val="004A5FF9"/>
    <w:rsid w:val="004C4EF4"/>
    <w:rsid w:val="004C746E"/>
    <w:rsid w:val="004D4C00"/>
    <w:rsid w:val="004E3D18"/>
    <w:rsid w:val="004F3731"/>
    <w:rsid w:val="004F6D75"/>
    <w:rsid w:val="00503ED0"/>
    <w:rsid w:val="00510C82"/>
    <w:rsid w:val="00513DBD"/>
    <w:rsid w:val="00513E87"/>
    <w:rsid w:val="00527653"/>
    <w:rsid w:val="00536A4B"/>
    <w:rsid w:val="0053794F"/>
    <w:rsid w:val="0054060B"/>
    <w:rsid w:val="005418C5"/>
    <w:rsid w:val="0054795F"/>
    <w:rsid w:val="005536FA"/>
    <w:rsid w:val="00554768"/>
    <w:rsid w:val="00564535"/>
    <w:rsid w:val="00574094"/>
    <w:rsid w:val="00576F9E"/>
    <w:rsid w:val="005808ED"/>
    <w:rsid w:val="00581574"/>
    <w:rsid w:val="00584D9D"/>
    <w:rsid w:val="005902DB"/>
    <w:rsid w:val="00590C8A"/>
    <w:rsid w:val="005935E4"/>
    <w:rsid w:val="00596D96"/>
    <w:rsid w:val="005A609C"/>
    <w:rsid w:val="005B019B"/>
    <w:rsid w:val="005C3D7E"/>
    <w:rsid w:val="005C5135"/>
    <w:rsid w:val="005D6BBC"/>
    <w:rsid w:val="005E27B6"/>
    <w:rsid w:val="005E4DC5"/>
    <w:rsid w:val="005F4BCE"/>
    <w:rsid w:val="005F634A"/>
    <w:rsid w:val="006113F4"/>
    <w:rsid w:val="00611695"/>
    <w:rsid w:val="0061224A"/>
    <w:rsid w:val="00612FAC"/>
    <w:rsid w:val="00613562"/>
    <w:rsid w:val="00613C23"/>
    <w:rsid w:val="00615CDB"/>
    <w:rsid w:val="00621BB1"/>
    <w:rsid w:val="00626546"/>
    <w:rsid w:val="006421CA"/>
    <w:rsid w:val="00653F27"/>
    <w:rsid w:val="00662017"/>
    <w:rsid w:val="00662AD7"/>
    <w:rsid w:val="00665540"/>
    <w:rsid w:val="00665C65"/>
    <w:rsid w:val="00671C72"/>
    <w:rsid w:val="006763A6"/>
    <w:rsid w:val="00685063"/>
    <w:rsid w:val="0068727D"/>
    <w:rsid w:val="00694587"/>
    <w:rsid w:val="006A451D"/>
    <w:rsid w:val="006A47EB"/>
    <w:rsid w:val="006A6B05"/>
    <w:rsid w:val="006B051F"/>
    <w:rsid w:val="006B183E"/>
    <w:rsid w:val="006B5CEA"/>
    <w:rsid w:val="006D00E5"/>
    <w:rsid w:val="006D0DB2"/>
    <w:rsid w:val="006E046B"/>
    <w:rsid w:val="006E6DEC"/>
    <w:rsid w:val="006E72ED"/>
    <w:rsid w:val="006F15EF"/>
    <w:rsid w:val="006F3208"/>
    <w:rsid w:val="006F5AB6"/>
    <w:rsid w:val="006F7AFC"/>
    <w:rsid w:val="006F7FA7"/>
    <w:rsid w:val="007013F9"/>
    <w:rsid w:val="00701E9B"/>
    <w:rsid w:val="00706A6E"/>
    <w:rsid w:val="00713C24"/>
    <w:rsid w:val="0071423C"/>
    <w:rsid w:val="00715ED4"/>
    <w:rsid w:val="007258AE"/>
    <w:rsid w:val="007263FE"/>
    <w:rsid w:val="007361AF"/>
    <w:rsid w:val="00740D74"/>
    <w:rsid w:val="007450C9"/>
    <w:rsid w:val="00746D77"/>
    <w:rsid w:val="0074717C"/>
    <w:rsid w:val="007540C4"/>
    <w:rsid w:val="00756CAC"/>
    <w:rsid w:val="007624B4"/>
    <w:rsid w:val="00763F0E"/>
    <w:rsid w:val="0076526C"/>
    <w:rsid w:val="00770253"/>
    <w:rsid w:val="007711AA"/>
    <w:rsid w:val="00780E1E"/>
    <w:rsid w:val="00783EBD"/>
    <w:rsid w:val="00785BBD"/>
    <w:rsid w:val="0078752B"/>
    <w:rsid w:val="007913B6"/>
    <w:rsid w:val="007925D3"/>
    <w:rsid w:val="007C36C9"/>
    <w:rsid w:val="007C4AD6"/>
    <w:rsid w:val="007C6532"/>
    <w:rsid w:val="007D03EE"/>
    <w:rsid w:val="007E1EEA"/>
    <w:rsid w:val="007E71EC"/>
    <w:rsid w:val="007F0AD6"/>
    <w:rsid w:val="007F247D"/>
    <w:rsid w:val="007F61F6"/>
    <w:rsid w:val="0080084B"/>
    <w:rsid w:val="00800FAF"/>
    <w:rsid w:val="008037FB"/>
    <w:rsid w:val="00813AEC"/>
    <w:rsid w:val="008162DC"/>
    <w:rsid w:val="00820957"/>
    <w:rsid w:val="008218AC"/>
    <w:rsid w:val="00840F1E"/>
    <w:rsid w:val="00851DAF"/>
    <w:rsid w:val="00851F6D"/>
    <w:rsid w:val="008523CE"/>
    <w:rsid w:val="00855059"/>
    <w:rsid w:val="00862906"/>
    <w:rsid w:val="00863A43"/>
    <w:rsid w:val="008731A6"/>
    <w:rsid w:val="00890800"/>
    <w:rsid w:val="00893AF3"/>
    <w:rsid w:val="00893B41"/>
    <w:rsid w:val="008A4C41"/>
    <w:rsid w:val="008B0268"/>
    <w:rsid w:val="008B4551"/>
    <w:rsid w:val="008B59B6"/>
    <w:rsid w:val="008B5A11"/>
    <w:rsid w:val="008B6A3D"/>
    <w:rsid w:val="008D3DF7"/>
    <w:rsid w:val="008D7137"/>
    <w:rsid w:val="008E1E00"/>
    <w:rsid w:val="008E63CE"/>
    <w:rsid w:val="008F1AA5"/>
    <w:rsid w:val="00900B5E"/>
    <w:rsid w:val="00907DE9"/>
    <w:rsid w:val="00916EC2"/>
    <w:rsid w:val="00922345"/>
    <w:rsid w:val="00927ABA"/>
    <w:rsid w:val="00927F15"/>
    <w:rsid w:val="009307BD"/>
    <w:rsid w:val="00931E0D"/>
    <w:rsid w:val="00941B12"/>
    <w:rsid w:val="009754F5"/>
    <w:rsid w:val="009B6E73"/>
    <w:rsid w:val="009C6D0C"/>
    <w:rsid w:val="009E5A0E"/>
    <w:rsid w:val="009F3993"/>
    <w:rsid w:val="009F414B"/>
    <w:rsid w:val="00A11266"/>
    <w:rsid w:val="00A23CD4"/>
    <w:rsid w:val="00A40AA4"/>
    <w:rsid w:val="00A411B0"/>
    <w:rsid w:val="00A46628"/>
    <w:rsid w:val="00A546B4"/>
    <w:rsid w:val="00A62C05"/>
    <w:rsid w:val="00A63403"/>
    <w:rsid w:val="00A676DF"/>
    <w:rsid w:val="00A744BD"/>
    <w:rsid w:val="00A76669"/>
    <w:rsid w:val="00A769B3"/>
    <w:rsid w:val="00A7702D"/>
    <w:rsid w:val="00A80D9D"/>
    <w:rsid w:val="00A857FE"/>
    <w:rsid w:val="00A9198E"/>
    <w:rsid w:val="00A976FE"/>
    <w:rsid w:val="00AA4C47"/>
    <w:rsid w:val="00AC1D10"/>
    <w:rsid w:val="00AC4BF1"/>
    <w:rsid w:val="00AC5C0D"/>
    <w:rsid w:val="00AC71BA"/>
    <w:rsid w:val="00AE5984"/>
    <w:rsid w:val="00B00E6C"/>
    <w:rsid w:val="00B02D59"/>
    <w:rsid w:val="00B031BD"/>
    <w:rsid w:val="00B0403C"/>
    <w:rsid w:val="00B12DBA"/>
    <w:rsid w:val="00B17599"/>
    <w:rsid w:val="00B17847"/>
    <w:rsid w:val="00B20B55"/>
    <w:rsid w:val="00B22464"/>
    <w:rsid w:val="00B23341"/>
    <w:rsid w:val="00B237BB"/>
    <w:rsid w:val="00B42D1F"/>
    <w:rsid w:val="00B52487"/>
    <w:rsid w:val="00B527D0"/>
    <w:rsid w:val="00B70CBC"/>
    <w:rsid w:val="00B80D28"/>
    <w:rsid w:val="00B823EA"/>
    <w:rsid w:val="00B824AC"/>
    <w:rsid w:val="00B8601D"/>
    <w:rsid w:val="00B9169A"/>
    <w:rsid w:val="00B96450"/>
    <w:rsid w:val="00B964F4"/>
    <w:rsid w:val="00BA7B1B"/>
    <w:rsid w:val="00BB0994"/>
    <w:rsid w:val="00BB289B"/>
    <w:rsid w:val="00BB3E16"/>
    <w:rsid w:val="00BC2C64"/>
    <w:rsid w:val="00BC6FD6"/>
    <w:rsid w:val="00BC76A9"/>
    <w:rsid w:val="00BC7A94"/>
    <w:rsid w:val="00BE1E54"/>
    <w:rsid w:val="00BE21A3"/>
    <w:rsid w:val="00BF2BF0"/>
    <w:rsid w:val="00BF6BCD"/>
    <w:rsid w:val="00C0550E"/>
    <w:rsid w:val="00C1189B"/>
    <w:rsid w:val="00C1289B"/>
    <w:rsid w:val="00C22D71"/>
    <w:rsid w:val="00C22FC0"/>
    <w:rsid w:val="00C3096B"/>
    <w:rsid w:val="00C44CEA"/>
    <w:rsid w:val="00C44EA6"/>
    <w:rsid w:val="00C46858"/>
    <w:rsid w:val="00C66784"/>
    <w:rsid w:val="00C7234A"/>
    <w:rsid w:val="00C8667D"/>
    <w:rsid w:val="00CA71C1"/>
    <w:rsid w:val="00CB07EC"/>
    <w:rsid w:val="00CB68CF"/>
    <w:rsid w:val="00CB7544"/>
    <w:rsid w:val="00CB7918"/>
    <w:rsid w:val="00CD0D8C"/>
    <w:rsid w:val="00CE44BD"/>
    <w:rsid w:val="00CE4DBE"/>
    <w:rsid w:val="00CE61DF"/>
    <w:rsid w:val="00CF3E2A"/>
    <w:rsid w:val="00D03488"/>
    <w:rsid w:val="00D1267B"/>
    <w:rsid w:val="00D1456F"/>
    <w:rsid w:val="00D30B98"/>
    <w:rsid w:val="00D345BC"/>
    <w:rsid w:val="00D34980"/>
    <w:rsid w:val="00D51231"/>
    <w:rsid w:val="00D53317"/>
    <w:rsid w:val="00D54077"/>
    <w:rsid w:val="00D65C20"/>
    <w:rsid w:val="00D80E11"/>
    <w:rsid w:val="00D81C0E"/>
    <w:rsid w:val="00D81C25"/>
    <w:rsid w:val="00D84499"/>
    <w:rsid w:val="00D8525C"/>
    <w:rsid w:val="00D9123F"/>
    <w:rsid w:val="00D91355"/>
    <w:rsid w:val="00DA1F3D"/>
    <w:rsid w:val="00DB302E"/>
    <w:rsid w:val="00DB3FDC"/>
    <w:rsid w:val="00DC1067"/>
    <w:rsid w:val="00DC2768"/>
    <w:rsid w:val="00DC2DAE"/>
    <w:rsid w:val="00DC6347"/>
    <w:rsid w:val="00DD112F"/>
    <w:rsid w:val="00DD30B1"/>
    <w:rsid w:val="00DD3AE6"/>
    <w:rsid w:val="00DE1802"/>
    <w:rsid w:val="00DE3BB7"/>
    <w:rsid w:val="00DF147F"/>
    <w:rsid w:val="00DF2199"/>
    <w:rsid w:val="00DF5211"/>
    <w:rsid w:val="00DF6AF6"/>
    <w:rsid w:val="00E03A97"/>
    <w:rsid w:val="00E06830"/>
    <w:rsid w:val="00E12A81"/>
    <w:rsid w:val="00E16E83"/>
    <w:rsid w:val="00E17949"/>
    <w:rsid w:val="00E20D39"/>
    <w:rsid w:val="00E27870"/>
    <w:rsid w:val="00E31AD4"/>
    <w:rsid w:val="00E41E20"/>
    <w:rsid w:val="00E42AF0"/>
    <w:rsid w:val="00E436A4"/>
    <w:rsid w:val="00E51D19"/>
    <w:rsid w:val="00E6299D"/>
    <w:rsid w:val="00E64DFB"/>
    <w:rsid w:val="00E67986"/>
    <w:rsid w:val="00E710F4"/>
    <w:rsid w:val="00E748D0"/>
    <w:rsid w:val="00E76867"/>
    <w:rsid w:val="00E85BDD"/>
    <w:rsid w:val="00E962CB"/>
    <w:rsid w:val="00EA0644"/>
    <w:rsid w:val="00EB3595"/>
    <w:rsid w:val="00EB408B"/>
    <w:rsid w:val="00EC1925"/>
    <w:rsid w:val="00EC56BA"/>
    <w:rsid w:val="00ED120E"/>
    <w:rsid w:val="00ED1E3B"/>
    <w:rsid w:val="00ED415F"/>
    <w:rsid w:val="00EE156E"/>
    <w:rsid w:val="00EF01F0"/>
    <w:rsid w:val="00EF2F13"/>
    <w:rsid w:val="00EF6329"/>
    <w:rsid w:val="00EF6601"/>
    <w:rsid w:val="00F07E2C"/>
    <w:rsid w:val="00F30A3F"/>
    <w:rsid w:val="00F30FA7"/>
    <w:rsid w:val="00F50664"/>
    <w:rsid w:val="00F5400A"/>
    <w:rsid w:val="00F62785"/>
    <w:rsid w:val="00F65DAC"/>
    <w:rsid w:val="00F669E0"/>
    <w:rsid w:val="00F70A16"/>
    <w:rsid w:val="00F7334E"/>
    <w:rsid w:val="00F82F43"/>
    <w:rsid w:val="00F86EC9"/>
    <w:rsid w:val="00F911FE"/>
    <w:rsid w:val="00F93A1C"/>
    <w:rsid w:val="00FA23D0"/>
    <w:rsid w:val="00FA449D"/>
    <w:rsid w:val="00FA5114"/>
    <w:rsid w:val="00FA7782"/>
    <w:rsid w:val="00FB27AC"/>
    <w:rsid w:val="00FB64BC"/>
    <w:rsid w:val="00FC00CC"/>
    <w:rsid w:val="00FE09DA"/>
    <w:rsid w:val="00FE1907"/>
    <w:rsid w:val="00FE1CAC"/>
    <w:rsid w:val="00FE4085"/>
    <w:rsid w:val="00FE62F5"/>
    <w:rsid w:val="00FF342D"/>
    <w:rsid w:val="00FF396B"/>
    <w:rsid w:val="00FF6B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3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880"/>
    <w:pPr>
      <w:tabs>
        <w:tab w:val="center" w:pos="4320"/>
        <w:tab w:val="right" w:pos="8640"/>
      </w:tabs>
    </w:pPr>
  </w:style>
  <w:style w:type="paragraph" w:styleId="Footer">
    <w:name w:val="footer"/>
    <w:basedOn w:val="Normal"/>
    <w:rsid w:val="002C0880"/>
    <w:pPr>
      <w:tabs>
        <w:tab w:val="center" w:pos="4320"/>
        <w:tab w:val="right" w:pos="8640"/>
      </w:tabs>
    </w:pPr>
  </w:style>
  <w:style w:type="character" w:styleId="PageNumber">
    <w:name w:val="page number"/>
    <w:basedOn w:val="DefaultParagraphFont"/>
    <w:rsid w:val="002C0880"/>
  </w:style>
  <w:style w:type="paragraph" w:styleId="BalloonText">
    <w:name w:val="Balloon Text"/>
    <w:basedOn w:val="Normal"/>
    <w:semiHidden/>
    <w:rsid w:val="008E0F99"/>
    <w:rPr>
      <w:rFonts w:ascii="Tahoma" w:hAnsi="Tahoma" w:cs="Tahoma"/>
      <w:sz w:val="16"/>
      <w:szCs w:val="16"/>
    </w:rPr>
  </w:style>
  <w:style w:type="paragraph" w:styleId="ListParagraph">
    <w:name w:val="List Paragraph"/>
    <w:basedOn w:val="Normal"/>
    <w:uiPriority w:val="34"/>
    <w:qFormat/>
    <w:rsid w:val="00B824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3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880"/>
    <w:pPr>
      <w:tabs>
        <w:tab w:val="center" w:pos="4320"/>
        <w:tab w:val="right" w:pos="8640"/>
      </w:tabs>
    </w:pPr>
  </w:style>
  <w:style w:type="paragraph" w:styleId="Footer">
    <w:name w:val="footer"/>
    <w:basedOn w:val="Normal"/>
    <w:rsid w:val="002C0880"/>
    <w:pPr>
      <w:tabs>
        <w:tab w:val="center" w:pos="4320"/>
        <w:tab w:val="right" w:pos="8640"/>
      </w:tabs>
    </w:pPr>
  </w:style>
  <w:style w:type="character" w:styleId="PageNumber">
    <w:name w:val="page number"/>
    <w:basedOn w:val="DefaultParagraphFont"/>
    <w:rsid w:val="002C0880"/>
  </w:style>
  <w:style w:type="paragraph" w:styleId="BalloonText">
    <w:name w:val="Balloon Text"/>
    <w:basedOn w:val="Normal"/>
    <w:semiHidden/>
    <w:rsid w:val="008E0F99"/>
    <w:rPr>
      <w:rFonts w:ascii="Tahoma" w:hAnsi="Tahoma" w:cs="Tahoma"/>
      <w:sz w:val="16"/>
      <w:szCs w:val="16"/>
    </w:rPr>
  </w:style>
  <w:style w:type="paragraph" w:styleId="ListParagraph">
    <w:name w:val="List Paragraph"/>
    <w:basedOn w:val="Normal"/>
    <w:uiPriority w:val="34"/>
    <w:qFormat/>
    <w:rsid w:val="00B824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D8C01-A729-4AB0-9431-29A82B33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Provost Advisory Council</vt:lpstr>
    </vt:vector>
  </TitlesOfParts>
  <Company>Boston College</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Provost Advisory Council</dc:title>
  <dc:creator>Anita Tien</dc:creator>
  <cp:lastModifiedBy>Anita Tien</cp:lastModifiedBy>
  <cp:revision>5</cp:revision>
  <dcterms:created xsi:type="dcterms:W3CDTF">2011-11-01T16:43:00Z</dcterms:created>
  <dcterms:modified xsi:type="dcterms:W3CDTF">2011-11-01T20:20:00Z</dcterms:modified>
</cp:coreProperties>
</file>