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85F06" w14:textId="77777777" w:rsidR="003771B8" w:rsidRDefault="003F34F9">
      <w:pPr>
        <w:pStyle w:val="Title"/>
        <w:spacing w:before="198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1C86C4F" wp14:editId="10EFE892">
            <wp:simplePos x="0" y="0"/>
            <wp:positionH relativeFrom="page">
              <wp:posOffset>6138895</wp:posOffset>
            </wp:positionH>
            <wp:positionV relativeFrom="paragraph">
              <wp:posOffset>114735</wp:posOffset>
            </wp:positionV>
            <wp:extent cx="1025294" cy="7429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294" cy="74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5EB9E2A8" wp14:editId="1C393B06">
            <wp:simplePos x="0" y="0"/>
            <wp:positionH relativeFrom="page">
              <wp:posOffset>5039950</wp:posOffset>
            </wp:positionH>
            <wp:positionV relativeFrom="paragraph">
              <wp:posOffset>6259</wp:posOffset>
            </wp:positionV>
            <wp:extent cx="933449" cy="93344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9100A"/>
          <w:spacing w:val="26"/>
        </w:rPr>
        <w:t>CLINICAL</w:t>
      </w:r>
      <w:r>
        <w:rPr>
          <w:color w:val="89100A"/>
          <w:spacing w:val="62"/>
        </w:rPr>
        <w:t xml:space="preserve"> </w:t>
      </w:r>
      <w:r>
        <w:rPr>
          <w:color w:val="89100A"/>
          <w:spacing w:val="25"/>
        </w:rPr>
        <w:t>AESTHETICS:</w:t>
      </w:r>
    </w:p>
    <w:p w14:paraId="53620B6C" w14:textId="77777777" w:rsidR="003771B8" w:rsidRDefault="003F34F9">
      <w:pPr>
        <w:pStyle w:val="Title"/>
      </w:pPr>
      <w:r>
        <w:rPr>
          <w:color w:val="89100A"/>
          <w:spacing w:val="26"/>
        </w:rPr>
        <w:t>ADVANCED</w:t>
      </w:r>
      <w:r>
        <w:rPr>
          <w:color w:val="89100A"/>
          <w:spacing w:val="60"/>
        </w:rPr>
        <w:t xml:space="preserve"> </w:t>
      </w:r>
      <w:r>
        <w:rPr>
          <w:color w:val="89100A"/>
          <w:spacing w:val="25"/>
        </w:rPr>
        <w:t>NEUROTOXINS</w:t>
      </w:r>
    </w:p>
    <w:p w14:paraId="735D0872" w14:textId="77777777" w:rsidR="003771B8" w:rsidRDefault="003771B8">
      <w:pPr>
        <w:pStyle w:val="BodyText"/>
        <w:ind w:left="0" w:firstLine="0"/>
        <w:rPr>
          <w:rFonts w:ascii="ScalaOT-Bold"/>
          <w:b/>
          <w:sz w:val="28"/>
        </w:rPr>
      </w:pPr>
    </w:p>
    <w:p w14:paraId="5319FD64" w14:textId="77777777" w:rsidR="003771B8" w:rsidRDefault="003771B8">
      <w:pPr>
        <w:pStyle w:val="BodyText"/>
        <w:ind w:left="0" w:firstLine="0"/>
        <w:rPr>
          <w:rFonts w:ascii="ScalaOT-Bold"/>
          <w:b/>
          <w:sz w:val="28"/>
        </w:rPr>
      </w:pPr>
    </w:p>
    <w:p w14:paraId="49891642" w14:textId="0F464FB5" w:rsidR="003771B8" w:rsidRPr="003F34F9" w:rsidRDefault="003F34F9" w:rsidP="003F34F9">
      <w:pPr>
        <w:rPr>
          <w:b/>
          <w:bCs/>
          <w:sz w:val="28"/>
        </w:rPr>
      </w:pPr>
      <w:r w:rsidRPr="003F34F9">
        <w:rPr>
          <w:b/>
          <w:bCs/>
          <w:color w:val="7F0000"/>
          <w:sz w:val="28"/>
        </w:rPr>
        <w:t>Designed</w:t>
      </w:r>
      <w:r w:rsidRPr="003F34F9">
        <w:rPr>
          <w:b/>
          <w:bCs/>
          <w:color w:val="7F0000"/>
          <w:spacing w:val="57"/>
          <w:w w:val="150"/>
          <w:sz w:val="28"/>
        </w:rPr>
        <w:t xml:space="preserve"> </w:t>
      </w:r>
      <w:r w:rsidRPr="003F34F9">
        <w:rPr>
          <w:b/>
          <w:bCs/>
          <w:color w:val="7F0000"/>
          <w:sz w:val="28"/>
        </w:rPr>
        <w:t>for</w:t>
      </w:r>
      <w:r w:rsidRPr="003F34F9">
        <w:rPr>
          <w:b/>
          <w:bCs/>
          <w:color w:val="7F0000"/>
          <w:spacing w:val="58"/>
          <w:w w:val="150"/>
          <w:sz w:val="28"/>
        </w:rPr>
        <w:t xml:space="preserve"> </w:t>
      </w:r>
      <w:r w:rsidRPr="003F34F9">
        <w:rPr>
          <w:b/>
          <w:bCs/>
          <w:color w:val="7F0000"/>
          <w:sz w:val="28"/>
        </w:rPr>
        <w:t>the</w:t>
      </w:r>
      <w:r w:rsidRPr="003F34F9">
        <w:rPr>
          <w:b/>
          <w:bCs/>
          <w:color w:val="7F0000"/>
          <w:spacing w:val="58"/>
          <w:w w:val="150"/>
          <w:sz w:val="28"/>
        </w:rPr>
        <w:t xml:space="preserve"> </w:t>
      </w:r>
      <w:r w:rsidRPr="003F34F9">
        <w:rPr>
          <w:b/>
          <w:bCs/>
          <w:color w:val="7F0000"/>
          <w:sz w:val="28"/>
        </w:rPr>
        <w:t>clinician</w:t>
      </w:r>
      <w:r w:rsidRPr="003F34F9">
        <w:rPr>
          <w:b/>
          <w:bCs/>
          <w:color w:val="7F0000"/>
          <w:spacing w:val="58"/>
          <w:w w:val="150"/>
          <w:sz w:val="28"/>
        </w:rPr>
        <w:t xml:space="preserve"> </w:t>
      </w:r>
      <w:r w:rsidRPr="003F34F9">
        <w:rPr>
          <w:b/>
          <w:bCs/>
          <w:color w:val="7F0000"/>
          <w:sz w:val="28"/>
        </w:rPr>
        <w:t>who</w:t>
      </w:r>
      <w:r w:rsidRPr="003F34F9">
        <w:rPr>
          <w:b/>
          <w:bCs/>
          <w:color w:val="7F0000"/>
          <w:spacing w:val="58"/>
          <w:w w:val="150"/>
          <w:sz w:val="28"/>
        </w:rPr>
        <w:t xml:space="preserve"> </w:t>
      </w:r>
      <w:r w:rsidRPr="003F34F9">
        <w:rPr>
          <w:b/>
          <w:bCs/>
          <w:color w:val="7F0000"/>
          <w:sz w:val="28"/>
        </w:rPr>
        <w:t>has</w:t>
      </w:r>
      <w:r w:rsidRPr="003F34F9">
        <w:rPr>
          <w:b/>
          <w:bCs/>
          <w:color w:val="7F0000"/>
          <w:spacing w:val="58"/>
          <w:w w:val="150"/>
          <w:sz w:val="28"/>
        </w:rPr>
        <w:t xml:space="preserve"> </w:t>
      </w:r>
      <w:r w:rsidRPr="003F34F9">
        <w:rPr>
          <w:b/>
          <w:bCs/>
          <w:color w:val="7F0000"/>
          <w:sz w:val="28"/>
        </w:rPr>
        <w:t>completed</w:t>
      </w:r>
      <w:r w:rsidRPr="003F34F9">
        <w:rPr>
          <w:b/>
          <w:bCs/>
          <w:color w:val="7F0000"/>
          <w:spacing w:val="58"/>
          <w:w w:val="150"/>
          <w:sz w:val="28"/>
        </w:rPr>
        <w:t xml:space="preserve"> </w:t>
      </w:r>
      <w:r w:rsidR="0010618A">
        <w:rPr>
          <w:b/>
          <w:bCs/>
          <w:color w:val="7F0000"/>
          <w:spacing w:val="58"/>
          <w:w w:val="150"/>
          <w:sz w:val="28"/>
        </w:rPr>
        <w:t xml:space="preserve">an </w:t>
      </w:r>
      <w:r w:rsidR="0010618A" w:rsidRPr="003F34F9">
        <w:rPr>
          <w:b/>
          <w:bCs/>
          <w:color w:val="7F0000"/>
          <w:sz w:val="28"/>
        </w:rPr>
        <w:t>introductory</w:t>
      </w:r>
      <w:r w:rsidRPr="003F34F9">
        <w:rPr>
          <w:b/>
          <w:bCs/>
          <w:color w:val="7F0000"/>
          <w:spacing w:val="53"/>
          <w:sz w:val="28"/>
        </w:rPr>
        <w:t xml:space="preserve"> </w:t>
      </w:r>
      <w:r w:rsidR="0010618A">
        <w:rPr>
          <w:b/>
          <w:bCs/>
          <w:color w:val="7F0000"/>
          <w:spacing w:val="53"/>
          <w:sz w:val="28"/>
        </w:rPr>
        <w:t xml:space="preserve">level </w:t>
      </w:r>
      <w:r w:rsidRPr="003F34F9">
        <w:rPr>
          <w:b/>
          <w:bCs/>
          <w:color w:val="7F0000"/>
          <w:sz w:val="28"/>
        </w:rPr>
        <w:t>neurotoxins</w:t>
      </w:r>
      <w:r w:rsidRPr="003F34F9">
        <w:rPr>
          <w:b/>
          <w:bCs/>
          <w:color w:val="7F0000"/>
          <w:spacing w:val="58"/>
          <w:w w:val="150"/>
          <w:sz w:val="28"/>
        </w:rPr>
        <w:t xml:space="preserve"> </w:t>
      </w:r>
      <w:r w:rsidRPr="003F34F9">
        <w:rPr>
          <w:b/>
          <w:bCs/>
          <w:color w:val="7F0000"/>
          <w:spacing w:val="7"/>
          <w:sz w:val="28"/>
        </w:rPr>
        <w:t>training</w:t>
      </w:r>
      <w:r w:rsidR="0010618A">
        <w:rPr>
          <w:b/>
          <w:bCs/>
          <w:color w:val="7F0000"/>
          <w:spacing w:val="7"/>
          <w:sz w:val="28"/>
        </w:rPr>
        <w:t xml:space="preserve"> and seeks to expand their neurotoxin practice to include the lower face, </w:t>
      </w:r>
      <w:r w:rsidR="0010618A" w:rsidRPr="0010618A">
        <w:rPr>
          <w:b/>
          <w:bCs/>
          <w:color w:val="7F0000"/>
          <w:spacing w:val="7"/>
          <w:sz w:val="28"/>
        </w:rPr>
        <w:t>neck, shoulders, and underarm areas</w:t>
      </w:r>
      <w:r w:rsidR="0010618A">
        <w:rPr>
          <w:b/>
          <w:bCs/>
          <w:color w:val="7F0000"/>
          <w:spacing w:val="7"/>
          <w:sz w:val="28"/>
        </w:rPr>
        <w:t xml:space="preserve"> </w:t>
      </w:r>
    </w:p>
    <w:p w14:paraId="082A0E97" w14:textId="1CE94759" w:rsidR="003F553B" w:rsidRPr="00787E4C" w:rsidRDefault="003F34F9" w:rsidP="003F553B">
      <w:pPr>
        <w:rPr>
          <w:sz w:val="24"/>
          <w:szCs w:val="24"/>
        </w:rPr>
      </w:pPr>
      <w:r w:rsidRPr="00787E4C">
        <w:rPr>
          <w:sz w:val="24"/>
          <w:szCs w:val="24"/>
        </w:rPr>
        <w:t>The c</w:t>
      </w:r>
      <w:r w:rsidR="003F553B" w:rsidRPr="00787E4C">
        <w:rPr>
          <w:sz w:val="24"/>
          <w:szCs w:val="24"/>
        </w:rPr>
        <w:t xml:space="preserve">ourse </w:t>
      </w:r>
      <w:r w:rsidRPr="00787E4C">
        <w:rPr>
          <w:sz w:val="24"/>
          <w:szCs w:val="24"/>
        </w:rPr>
        <w:t>includes a thorough review of anatomy and physiology, treatment indications and contraindications, and guidelines for safe, evidence-based practices</w:t>
      </w:r>
      <w:r w:rsidR="0010618A" w:rsidRPr="00787E4C">
        <w:rPr>
          <w:sz w:val="24"/>
          <w:szCs w:val="24"/>
        </w:rPr>
        <w:t xml:space="preserve"> for advanced neurotoxin treatment areas.</w:t>
      </w:r>
      <w:r w:rsidRPr="00787E4C">
        <w:rPr>
          <w:sz w:val="24"/>
          <w:szCs w:val="24"/>
        </w:rPr>
        <w:t xml:space="preserve"> </w:t>
      </w:r>
      <w:r w:rsidR="0010618A" w:rsidRPr="00787E4C">
        <w:rPr>
          <w:sz w:val="24"/>
          <w:szCs w:val="24"/>
        </w:rPr>
        <w:t xml:space="preserve">Participants will attend a </w:t>
      </w:r>
      <w:r w:rsidRPr="00787E4C">
        <w:rPr>
          <w:sz w:val="24"/>
          <w:szCs w:val="24"/>
        </w:rPr>
        <w:t xml:space="preserve">live, online </w:t>
      </w:r>
      <w:r w:rsidR="0010618A" w:rsidRPr="00787E4C">
        <w:rPr>
          <w:sz w:val="24"/>
          <w:szCs w:val="24"/>
        </w:rPr>
        <w:t xml:space="preserve">lecture session </w:t>
      </w:r>
      <w:r w:rsidRPr="00787E4C">
        <w:rPr>
          <w:sz w:val="24"/>
          <w:szCs w:val="24"/>
        </w:rPr>
        <w:t>and in-person, hands-on</w:t>
      </w:r>
      <w:r w:rsidR="0010618A" w:rsidRPr="00787E4C">
        <w:rPr>
          <w:sz w:val="24"/>
          <w:szCs w:val="24"/>
        </w:rPr>
        <w:t xml:space="preserve"> training </w:t>
      </w:r>
      <w:r w:rsidR="0010618A" w:rsidRPr="00787E4C">
        <w:rPr>
          <w:sz w:val="24"/>
          <w:szCs w:val="24"/>
        </w:rPr>
        <w:t>at Boston College’s Chestnut Hill campus</w:t>
      </w:r>
      <w:r w:rsidR="0010618A" w:rsidRPr="00787E4C">
        <w:rPr>
          <w:sz w:val="24"/>
          <w:szCs w:val="24"/>
        </w:rPr>
        <w:t xml:space="preserve">.  </w:t>
      </w:r>
      <w:r w:rsidR="003F553B" w:rsidRPr="00787E4C">
        <w:rPr>
          <w:sz w:val="24"/>
          <w:szCs w:val="24"/>
        </w:rPr>
        <w:t xml:space="preserve">The online lecture session features injection demonstration videos by LexRx Nurse Practitioners. Hands-on training provides small group instruction and injection practice under the direct supervision of </w:t>
      </w:r>
      <w:r w:rsidR="00787E4C" w:rsidRPr="00787E4C">
        <w:rPr>
          <w:sz w:val="24"/>
          <w:szCs w:val="24"/>
        </w:rPr>
        <w:t xml:space="preserve">an </w:t>
      </w:r>
      <w:r w:rsidR="003F553B" w:rsidRPr="00787E4C">
        <w:rPr>
          <w:sz w:val="24"/>
          <w:szCs w:val="24"/>
        </w:rPr>
        <w:t xml:space="preserve">experienced clinical aesthetic practitioner. </w:t>
      </w:r>
    </w:p>
    <w:p w14:paraId="2437E366" w14:textId="77777777" w:rsidR="003771B8" w:rsidRDefault="003771B8">
      <w:pPr>
        <w:rPr>
          <w:sz w:val="20"/>
        </w:rPr>
        <w:sectPr w:rsidR="003771B8">
          <w:type w:val="continuous"/>
          <w:pgSz w:w="12240" w:h="15840"/>
          <w:pgMar w:top="840" w:right="620" w:bottom="280" w:left="760" w:header="720" w:footer="720" w:gutter="0"/>
          <w:cols w:space="720"/>
        </w:sectPr>
      </w:pPr>
    </w:p>
    <w:p w14:paraId="0F1B9567" w14:textId="77777777" w:rsidR="003771B8" w:rsidRDefault="003F34F9">
      <w:pPr>
        <w:pStyle w:val="Heading1"/>
        <w:spacing w:before="100"/>
      </w:pPr>
      <w:r>
        <w:rPr>
          <w:color w:val="89100A"/>
        </w:rPr>
        <w:t>This</w:t>
      </w:r>
      <w:r>
        <w:rPr>
          <w:color w:val="89100A"/>
          <w:spacing w:val="-3"/>
        </w:rPr>
        <w:t xml:space="preserve"> </w:t>
      </w:r>
      <w:r>
        <w:rPr>
          <w:color w:val="89100A"/>
        </w:rPr>
        <w:t>course</w:t>
      </w:r>
      <w:r>
        <w:rPr>
          <w:color w:val="89100A"/>
          <w:spacing w:val="-3"/>
        </w:rPr>
        <w:t xml:space="preserve"> </w:t>
      </w:r>
      <w:r>
        <w:rPr>
          <w:color w:val="89100A"/>
          <w:spacing w:val="-2"/>
        </w:rPr>
        <w:t>includes:</w:t>
      </w:r>
    </w:p>
    <w:p w14:paraId="303F3FA0" w14:textId="77777777" w:rsidR="003771B8" w:rsidRDefault="003F34F9">
      <w:pPr>
        <w:pStyle w:val="ListParagraph"/>
        <w:numPr>
          <w:ilvl w:val="0"/>
          <w:numId w:val="1"/>
        </w:numPr>
        <w:tabs>
          <w:tab w:val="left" w:pos="453"/>
        </w:tabs>
        <w:spacing w:before="87"/>
        <w:rPr>
          <w:sz w:val="24"/>
        </w:rPr>
      </w:pP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review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all</w:t>
      </w:r>
      <w:r>
        <w:rPr>
          <w:spacing w:val="46"/>
          <w:sz w:val="24"/>
        </w:rPr>
        <w:t xml:space="preserve"> </w:t>
      </w:r>
      <w:r>
        <w:rPr>
          <w:sz w:val="24"/>
        </w:rPr>
        <w:t>FDA</w:t>
      </w:r>
      <w:r>
        <w:rPr>
          <w:spacing w:val="46"/>
          <w:sz w:val="24"/>
        </w:rPr>
        <w:t xml:space="preserve"> </w:t>
      </w:r>
      <w:r>
        <w:rPr>
          <w:sz w:val="24"/>
        </w:rPr>
        <w:t>approved</w:t>
      </w:r>
      <w:r>
        <w:rPr>
          <w:spacing w:val="47"/>
          <w:sz w:val="24"/>
        </w:rPr>
        <w:t xml:space="preserve"> </w:t>
      </w:r>
      <w:r>
        <w:rPr>
          <w:spacing w:val="8"/>
          <w:sz w:val="24"/>
        </w:rPr>
        <w:t>brands</w:t>
      </w:r>
    </w:p>
    <w:p w14:paraId="2A359B84" w14:textId="77777777" w:rsidR="003771B8" w:rsidRDefault="003F34F9">
      <w:pPr>
        <w:pStyle w:val="ListParagraph"/>
        <w:numPr>
          <w:ilvl w:val="0"/>
          <w:numId w:val="1"/>
        </w:numPr>
        <w:tabs>
          <w:tab w:val="left" w:pos="453"/>
        </w:tabs>
        <w:spacing w:before="0" w:line="289" w:lineRule="exact"/>
        <w:rPr>
          <w:sz w:val="24"/>
        </w:rPr>
      </w:pPr>
      <w:r>
        <w:rPr>
          <w:sz w:val="24"/>
        </w:rPr>
        <w:t>Discussion</w:t>
      </w:r>
      <w:r>
        <w:rPr>
          <w:spacing w:val="48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pacing w:val="9"/>
          <w:sz w:val="24"/>
        </w:rPr>
        <w:t>demonstration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safe</w:t>
      </w:r>
      <w:r>
        <w:rPr>
          <w:spacing w:val="49"/>
          <w:sz w:val="24"/>
        </w:rPr>
        <w:t xml:space="preserve"> </w:t>
      </w:r>
      <w:r>
        <w:rPr>
          <w:spacing w:val="8"/>
          <w:sz w:val="24"/>
        </w:rPr>
        <w:t>dosing</w:t>
      </w:r>
    </w:p>
    <w:p w14:paraId="659BEBB2" w14:textId="77777777" w:rsidR="003771B8" w:rsidRDefault="003F34F9">
      <w:pPr>
        <w:pStyle w:val="BodyText"/>
        <w:spacing w:before="66" w:line="297" w:lineRule="auto"/>
        <w:ind w:left="453" w:firstLine="0"/>
      </w:pPr>
      <w:r>
        <w:t>and</w:t>
      </w:r>
      <w:r>
        <w:rPr>
          <w:spacing w:val="40"/>
        </w:rPr>
        <w:t xml:space="preserve"> </w:t>
      </w:r>
      <w:r>
        <w:t>injection</w:t>
      </w:r>
      <w:r>
        <w:rPr>
          <w:spacing w:val="40"/>
        </w:rPr>
        <w:t xml:space="preserve"> </w:t>
      </w:r>
      <w:r>
        <w:t>techniques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advanced neurotoxin</w:t>
      </w:r>
      <w:r>
        <w:rPr>
          <w:spacing w:val="40"/>
        </w:rPr>
        <w:t xml:space="preserve"> </w:t>
      </w:r>
      <w:r>
        <w:t>treatment</w:t>
      </w:r>
      <w:r>
        <w:rPr>
          <w:spacing w:val="10"/>
        </w:rPr>
        <w:t xml:space="preserve"> areas</w:t>
      </w:r>
    </w:p>
    <w:p w14:paraId="29ADF637" w14:textId="2B0CF4D8" w:rsidR="003771B8" w:rsidRDefault="0010618A">
      <w:pPr>
        <w:pStyle w:val="ListParagraph"/>
        <w:numPr>
          <w:ilvl w:val="0"/>
          <w:numId w:val="1"/>
        </w:numPr>
        <w:tabs>
          <w:tab w:val="left" w:pos="453"/>
        </w:tabs>
        <w:spacing w:before="0" w:line="295" w:lineRule="auto"/>
        <w:ind w:right="765"/>
        <w:rPr>
          <w:sz w:val="24"/>
        </w:rPr>
      </w:pPr>
      <w:r>
        <w:rPr>
          <w:sz w:val="24"/>
        </w:rPr>
        <w:t>Mentorship for client management with practice on live models</w:t>
      </w:r>
    </w:p>
    <w:p w14:paraId="11CB5AB3" w14:textId="2B19D5DE" w:rsidR="003771B8" w:rsidRDefault="003F34F9">
      <w:pPr>
        <w:pStyle w:val="Heading1"/>
        <w:spacing w:before="124" w:line="336" w:lineRule="exact"/>
      </w:pPr>
      <w:r>
        <w:rPr>
          <w:b w:val="0"/>
        </w:rPr>
        <w:br w:type="column"/>
      </w:r>
      <w:r>
        <w:rPr>
          <w:color w:val="89100A"/>
        </w:rPr>
        <w:t>Eligible</w:t>
      </w:r>
      <w:r>
        <w:rPr>
          <w:color w:val="89100A"/>
          <w:spacing w:val="-3"/>
        </w:rPr>
        <w:t xml:space="preserve"> </w:t>
      </w:r>
      <w:r>
        <w:rPr>
          <w:color w:val="89100A"/>
          <w:spacing w:val="-2"/>
        </w:rPr>
        <w:t>participants:</w:t>
      </w:r>
    </w:p>
    <w:p w14:paraId="416339C7" w14:textId="77777777" w:rsidR="003771B8" w:rsidRDefault="003F34F9">
      <w:pPr>
        <w:pStyle w:val="ListParagraph"/>
        <w:numPr>
          <w:ilvl w:val="0"/>
          <w:numId w:val="1"/>
        </w:numPr>
        <w:tabs>
          <w:tab w:val="left" w:pos="479"/>
        </w:tabs>
        <w:spacing w:before="0" w:line="250" w:lineRule="exact"/>
        <w:ind w:left="479"/>
        <w:rPr>
          <w:sz w:val="24"/>
        </w:rPr>
      </w:pPr>
      <w:r>
        <w:rPr>
          <w:spacing w:val="-4"/>
          <w:sz w:val="24"/>
        </w:rPr>
        <w:t>APRNs</w:t>
      </w:r>
    </w:p>
    <w:p w14:paraId="16AC5C57" w14:textId="77777777" w:rsidR="003771B8" w:rsidRDefault="003F34F9">
      <w:pPr>
        <w:pStyle w:val="ListParagraph"/>
        <w:numPr>
          <w:ilvl w:val="0"/>
          <w:numId w:val="1"/>
        </w:numPr>
        <w:tabs>
          <w:tab w:val="left" w:pos="479"/>
        </w:tabs>
        <w:ind w:left="479"/>
        <w:rPr>
          <w:sz w:val="24"/>
        </w:rPr>
      </w:pPr>
      <w:r>
        <w:rPr>
          <w:spacing w:val="-5"/>
          <w:sz w:val="24"/>
        </w:rPr>
        <w:t>RNs</w:t>
      </w:r>
    </w:p>
    <w:p w14:paraId="6D5F2F4C" w14:textId="77777777" w:rsidR="003771B8" w:rsidRDefault="003F34F9">
      <w:pPr>
        <w:pStyle w:val="ListParagraph"/>
        <w:numPr>
          <w:ilvl w:val="0"/>
          <w:numId w:val="1"/>
        </w:numPr>
        <w:tabs>
          <w:tab w:val="left" w:pos="479"/>
        </w:tabs>
        <w:spacing w:before="50"/>
        <w:ind w:left="479"/>
        <w:rPr>
          <w:sz w:val="24"/>
        </w:rPr>
      </w:pPr>
      <w:r>
        <w:rPr>
          <w:sz w:val="24"/>
        </w:rPr>
        <w:t>BSN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clinical </w:t>
      </w:r>
      <w:r>
        <w:rPr>
          <w:spacing w:val="-2"/>
          <w:sz w:val="24"/>
        </w:rPr>
        <w:t>experience</w:t>
      </w:r>
    </w:p>
    <w:p w14:paraId="77A67190" w14:textId="77777777" w:rsidR="003771B8" w:rsidRDefault="003F34F9">
      <w:pPr>
        <w:pStyle w:val="ListParagraph"/>
        <w:numPr>
          <w:ilvl w:val="0"/>
          <w:numId w:val="1"/>
        </w:numPr>
        <w:tabs>
          <w:tab w:val="left" w:pos="479"/>
        </w:tabs>
        <w:spacing w:before="57"/>
        <w:ind w:left="479"/>
        <w:rPr>
          <w:sz w:val="24"/>
        </w:rPr>
      </w:pPr>
      <w:r>
        <w:rPr>
          <w:spacing w:val="-4"/>
          <w:sz w:val="24"/>
        </w:rPr>
        <w:t>LPNs</w:t>
      </w:r>
    </w:p>
    <w:p w14:paraId="475FA45D" w14:textId="77777777" w:rsidR="003771B8" w:rsidRDefault="003F34F9">
      <w:pPr>
        <w:pStyle w:val="ListParagraph"/>
        <w:numPr>
          <w:ilvl w:val="0"/>
          <w:numId w:val="1"/>
        </w:numPr>
        <w:tabs>
          <w:tab w:val="left" w:pos="479"/>
        </w:tabs>
        <w:ind w:left="479"/>
        <w:rPr>
          <w:sz w:val="24"/>
        </w:rPr>
      </w:pPr>
      <w:r>
        <w:rPr>
          <w:spacing w:val="-5"/>
          <w:sz w:val="24"/>
        </w:rPr>
        <w:t>PAs</w:t>
      </w:r>
    </w:p>
    <w:p w14:paraId="3B3151C9" w14:textId="77777777" w:rsidR="003771B8" w:rsidRDefault="003F34F9">
      <w:pPr>
        <w:pStyle w:val="ListParagraph"/>
        <w:numPr>
          <w:ilvl w:val="0"/>
          <w:numId w:val="1"/>
        </w:numPr>
        <w:tabs>
          <w:tab w:val="left" w:pos="479"/>
        </w:tabs>
        <w:ind w:left="479"/>
        <w:rPr>
          <w:sz w:val="24"/>
        </w:rPr>
      </w:pPr>
      <w:r>
        <w:rPr>
          <w:spacing w:val="-5"/>
          <w:sz w:val="24"/>
        </w:rPr>
        <w:t>MDs</w:t>
      </w:r>
    </w:p>
    <w:p w14:paraId="6E1B693A" w14:textId="77777777" w:rsidR="003771B8" w:rsidRDefault="003F34F9">
      <w:pPr>
        <w:pStyle w:val="ListParagraph"/>
        <w:numPr>
          <w:ilvl w:val="0"/>
          <w:numId w:val="1"/>
        </w:numPr>
        <w:tabs>
          <w:tab w:val="left" w:pos="479"/>
        </w:tabs>
        <w:spacing w:before="53"/>
        <w:ind w:left="479"/>
        <w:rPr>
          <w:sz w:val="24"/>
        </w:rPr>
      </w:pPr>
      <w:r>
        <w:rPr>
          <w:spacing w:val="-5"/>
          <w:sz w:val="24"/>
        </w:rPr>
        <w:t>DOs</w:t>
      </w:r>
    </w:p>
    <w:p w14:paraId="2CA0D4C7" w14:textId="77777777" w:rsidR="003771B8" w:rsidRDefault="003F34F9">
      <w:pPr>
        <w:pStyle w:val="ListParagraph"/>
        <w:numPr>
          <w:ilvl w:val="0"/>
          <w:numId w:val="1"/>
        </w:numPr>
        <w:tabs>
          <w:tab w:val="left" w:pos="479"/>
        </w:tabs>
        <w:ind w:left="479"/>
        <w:rPr>
          <w:sz w:val="24"/>
        </w:rPr>
      </w:pPr>
      <w:r>
        <w:rPr>
          <w:spacing w:val="-4"/>
          <w:sz w:val="24"/>
        </w:rPr>
        <w:t>DDSs</w:t>
      </w:r>
    </w:p>
    <w:p w14:paraId="310F8FC4" w14:textId="77777777" w:rsidR="003771B8" w:rsidRDefault="003F34F9">
      <w:pPr>
        <w:pStyle w:val="ListParagraph"/>
        <w:numPr>
          <w:ilvl w:val="0"/>
          <w:numId w:val="1"/>
        </w:numPr>
        <w:tabs>
          <w:tab w:val="left" w:pos="479"/>
        </w:tabs>
        <w:ind w:left="479"/>
        <w:rPr>
          <w:sz w:val="24"/>
        </w:rPr>
      </w:pPr>
      <w:r>
        <w:rPr>
          <w:spacing w:val="-4"/>
          <w:sz w:val="24"/>
        </w:rPr>
        <w:t>DMDs</w:t>
      </w:r>
    </w:p>
    <w:p w14:paraId="6CBA40CD" w14:textId="77777777" w:rsidR="003771B8" w:rsidRDefault="003771B8">
      <w:pPr>
        <w:spacing w:line="237" w:lineRule="auto"/>
        <w:sectPr w:rsidR="003771B8">
          <w:type w:val="continuous"/>
          <w:pgSz w:w="12240" w:h="15840"/>
          <w:pgMar w:top="840" w:right="620" w:bottom="280" w:left="760" w:header="720" w:footer="720" w:gutter="0"/>
          <w:cols w:num="2" w:space="720" w:equalWidth="0">
            <w:col w:w="5441" w:space="1100"/>
            <w:col w:w="4319"/>
          </w:cols>
        </w:sectPr>
      </w:pPr>
    </w:p>
    <w:p w14:paraId="4054E4AB" w14:textId="77777777" w:rsidR="003771B8" w:rsidRDefault="003771B8">
      <w:pPr>
        <w:pStyle w:val="BodyText"/>
        <w:spacing w:before="201"/>
        <w:ind w:left="0" w:firstLine="0"/>
        <w:rPr>
          <w:sz w:val="28"/>
        </w:rPr>
      </w:pPr>
    </w:p>
    <w:p w14:paraId="13D5590D" w14:textId="77777777" w:rsidR="003771B8" w:rsidRDefault="003F34F9">
      <w:pPr>
        <w:pStyle w:val="Heading1"/>
      </w:pPr>
      <w:r>
        <w:rPr>
          <w:color w:val="89100A"/>
        </w:rPr>
        <w:t>At</w:t>
      </w:r>
      <w:r>
        <w:rPr>
          <w:color w:val="89100A"/>
          <w:spacing w:val="43"/>
        </w:rPr>
        <w:t xml:space="preserve"> </w:t>
      </w:r>
      <w:r>
        <w:rPr>
          <w:color w:val="89100A"/>
          <w:spacing w:val="11"/>
        </w:rPr>
        <w:t>the</w:t>
      </w:r>
      <w:r>
        <w:rPr>
          <w:color w:val="89100A"/>
          <w:spacing w:val="44"/>
        </w:rPr>
        <w:t xml:space="preserve"> </w:t>
      </w:r>
      <w:r>
        <w:rPr>
          <w:color w:val="89100A"/>
          <w:spacing w:val="15"/>
        </w:rPr>
        <w:t>conclusion</w:t>
      </w:r>
      <w:r>
        <w:rPr>
          <w:color w:val="89100A"/>
          <w:spacing w:val="43"/>
        </w:rPr>
        <w:t xml:space="preserve"> </w:t>
      </w:r>
      <w:r>
        <w:rPr>
          <w:color w:val="89100A"/>
        </w:rPr>
        <w:t>of</w:t>
      </w:r>
      <w:r>
        <w:rPr>
          <w:color w:val="89100A"/>
          <w:spacing w:val="44"/>
        </w:rPr>
        <w:t xml:space="preserve"> </w:t>
      </w:r>
      <w:r>
        <w:rPr>
          <w:color w:val="89100A"/>
          <w:spacing w:val="12"/>
        </w:rPr>
        <w:t>this</w:t>
      </w:r>
      <w:r>
        <w:rPr>
          <w:color w:val="89100A"/>
          <w:spacing w:val="44"/>
        </w:rPr>
        <w:t xml:space="preserve"> </w:t>
      </w:r>
      <w:r>
        <w:rPr>
          <w:color w:val="89100A"/>
          <w:spacing w:val="14"/>
        </w:rPr>
        <w:t>program,</w:t>
      </w:r>
      <w:r>
        <w:rPr>
          <w:color w:val="89100A"/>
          <w:spacing w:val="43"/>
        </w:rPr>
        <w:t xml:space="preserve"> </w:t>
      </w:r>
      <w:r>
        <w:rPr>
          <w:color w:val="89100A"/>
          <w:spacing w:val="15"/>
        </w:rPr>
        <w:t>participants</w:t>
      </w:r>
      <w:r>
        <w:rPr>
          <w:color w:val="89100A"/>
          <w:spacing w:val="44"/>
        </w:rPr>
        <w:t xml:space="preserve"> </w:t>
      </w:r>
      <w:r>
        <w:rPr>
          <w:color w:val="89100A"/>
          <w:spacing w:val="12"/>
        </w:rPr>
        <w:t>will</w:t>
      </w:r>
      <w:r>
        <w:rPr>
          <w:color w:val="89100A"/>
          <w:spacing w:val="44"/>
        </w:rPr>
        <w:t xml:space="preserve"> </w:t>
      </w:r>
      <w:r>
        <w:rPr>
          <w:color w:val="89100A"/>
        </w:rPr>
        <w:t>be</w:t>
      </w:r>
      <w:r>
        <w:rPr>
          <w:color w:val="89100A"/>
          <w:spacing w:val="43"/>
        </w:rPr>
        <w:t xml:space="preserve"> </w:t>
      </w:r>
      <w:r>
        <w:rPr>
          <w:color w:val="89100A"/>
          <w:spacing w:val="12"/>
        </w:rPr>
        <w:t>able</w:t>
      </w:r>
      <w:r>
        <w:rPr>
          <w:color w:val="89100A"/>
          <w:spacing w:val="44"/>
        </w:rPr>
        <w:t xml:space="preserve"> </w:t>
      </w:r>
      <w:r>
        <w:rPr>
          <w:color w:val="89100A"/>
        </w:rPr>
        <w:t>to</w:t>
      </w:r>
      <w:r>
        <w:rPr>
          <w:color w:val="89100A"/>
          <w:spacing w:val="44"/>
        </w:rPr>
        <w:t xml:space="preserve"> </w:t>
      </w:r>
      <w:r>
        <w:rPr>
          <w:color w:val="89100A"/>
          <w:spacing w:val="13"/>
        </w:rPr>
        <w:t>describe:</w:t>
      </w:r>
    </w:p>
    <w:p w14:paraId="7AC614E5" w14:textId="056A4315" w:rsidR="003771B8" w:rsidRDefault="0010618A">
      <w:pPr>
        <w:pStyle w:val="ListParagraph"/>
        <w:numPr>
          <w:ilvl w:val="0"/>
          <w:numId w:val="1"/>
        </w:numPr>
        <w:tabs>
          <w:tab w:val="left" w:pos="450"/>
        </w:tabs>
        <w:spacing w:before="101"/>
        <w:ind w:left="450"/>
        <w:rPr>
          <w:sz w:val="24"/>
        </w:rPr>
      </w:pPr>
      <w:r>
        <w:rPr>
          <w:sz w:val="24"/>
        </w:rPr>
        <w:t>Relevant anatomical structures for advanced treatment areas</w:t>
      </w:r>
    </w:p>
    <w:p w14:paraId="1C1C98D8" w14:textId="1080B363" w:rsidR="003771B8" w:rsidRDefault="0010618A">
      <w:pPr>
        <w:pStyle w:val="ListParagraph"/>
        <w:numPr>
          <w:ilvl w:val="0"/>
          <w:numId w:val="1"/>
        </w:numPr>
        <w:tabs>
          <w:tab w:val="left" w:pos="450"/>
        </w:tabs>
        <w:ind w:left="450"/>
        <w:rPr>
          <w:sz w:val="24"/>
        </w:rPr>
      </w:pPr>
      <w:r>
        <w:rPr>
          <w:sz w:val="24"/>
        </w:rPr>
        <w:t xml:space="preserve">Appropriate screening and client selection </w:t>
      </w:r>
      <w:r w:rsidR="003F553B">
        <w:rPr>
          <w:sz w:val="24"/>
        </w:rPr>
        <w:t>criteria</w:t>
      </w:r>
      <w:r>
        <w:rPr>
          <w:sz w:val="24"/>
        </w:rPr>
        <w:t xml:space="preserve"> for e</w:t>
      </w:r>
      <w:r w:rsidR="003F34F9">
        <w:rPr>
          <w:sz w:val="24"/>
        </w:rPr>
        <w:t>xpanded</w:t>
      </w:r>
      <w:r w:rsidR="003F34F9">
        <w:rPr>
          <w:spacing w:val="57"/>
          <w:sz w:val="24"/>
        </w:rPr>
        <w:t xml:space="preserve"> </w:t>
      </w:r>
      <w:r w:rsidR="003F34F9">
        <w:rPr>
          <w:sz w:val="24"/>
        </w:rPr>
        <w:t>use</w:t>
      </w:r>
      <w:r w:rsidR="003F34F9">
        <w:rPr>
          <w:spacing w:val="57"/>
          <w:sz w:val="24"/>
        </w:rPr>
        <w:t xml:space="preserve"> </w:t>
      </w:r>
      <w:r w:rsidR="003F34F9">
        <w:rPr>
          <w:sz w:val="24"/>
        </w:rPr>
        <w:t>of</w:t>
      </w:r>
      <w:r w:rsidR="003F34F9">
        <w:rPr>
          <w:spacing w:val="57"/>
          <w:sz w:val="24"/>
        </w:rPr>
        <w:t xml:space="preserve"> </w:t>
      </w:r>
      <w:r w:rsidR="003F34F9">
        <w:rPr>
          <w:spacing w:val="9"/>
          <w:sz w:val="24"/>
        </w:rPr>
        <w:t>neurotoxins</w:t>
      </w:r>
      <w:r w:rsidR="003F34F9">
        <w:rPr>
          <w:spacing w:val="57"/>
          <w:sz w:val="24"/>
        </w:rPr>
        <w:t xml:space="preserve"> </w:t>
      </w:r>
      <w:r w:rsidR="003F34F9">
        <w:rPr>
          <w:sz w:val="24"/>
        </w:rPr>
        <w:t>in</w:t>
      </w:r>
      <w:r w:rsidR="003F34F9">
        <w:rPr>
          <w:spacing w:val="56"/>
          <w:sz w:val="24"/>
        </w:rPr>
        <w:t xml:space="preserve"> </w:t>
      </w:r>
      <w:r w:rsidR="003F34F9">
        <w:rPr>
          <w:sz w:val="24"/>
        </w:rPr>
        <w:t>lower</w:t>
      </w:r>
      <w:r w:rsidR="003F34F9">
        <w:rPr>
          <w:spacing w:val="57"/>
          <w:sz w:val="24"/>
        </w:rPr>
        <w:t xml:space="preserve"> </w:t>
      </w:r>
      <w:r w:rsidR="003F34F9">
        <w:rPr>
          <w:sz w:val="24"/>
        </w:rPr>
        <w:t>face,</w:t>
      </w:r>
      <w:r w:rsidR="003F34F9">
        <w:rPr>
          <w:spacing w:val="57"/>
          <w:sz w:val="24"/>
        </w:rPr>
        <w:t xml:space="preserve"> </w:t>
      </w:r>
      <w:bookmarkStart w:id="0" w:name="_Hlk196494993"/>
      <w:r w:rsidR="003F34F9">
        <w:rPr>
          <w:sz w:val="24"/>
        </w:rPr>
        <w:t>neck,</w:t>
      </w:r>
      <w:r w:rsidR="003F34F9">
        <w:rPr>
          <w:spacing w:val="57"/>
          <w:sz w:val="24"/>
        </w:rPr>
        <w:t xml:space="preserve"> </w:t>
      </w:r>
      <w:r w:rsidR="003F34F9">
        <w:rPr>
          <w:sz w:val="24"/>
        </w:rPr>
        <w:t>shoulders,</w:t>
      </w:r>
      <w:r w:rsidR="003F34F9">
        <w:rPr>
          <w:spacing w:val="58"/>
          <w:sz w:val="24"/>
        </w:rPr>
        <w:t xml:space="preserve"> </w:t>
      </w:r>
      <w:r w:rsidR="003F34F9">
        <w:rPr>
          <w:sz w:val="24"/>
        </w:rPr>
        <w:t>and</w:t>
      </w:r>
      <w:r w:rsidR="003F34F9">
        <w:rPr>
          <w:spacing w:val="55"/>
          <w:sz w:val="24"/>
        </w:rPr>
        <w:t xml:space="preserve"> </w:t>
      </w:r>
      <w:r w:rsidR="003F34F9">
        <w:rPr>
          <w:sz w:val="24"/>
        </w:rPr>
        <w:t>underarm</w:t>
      </w:r>
      <w:r w:rsidR="003F34F9">
        <w:rPr>
          <w:spacing w:val="58"/>
          <w:sz w:val="24"/>
        </w:rPr>
        <w:t xml:space="preserve"> </w:t>
      </w:r>
      <w:r w:rsidR="003F34F9">
        <w:rPr>
          <w:spacing w:val="8"/>
          <w:sz w:val="24"/>
        </w:rPr>
        <w:t>areas</w:t>
      </w:r>
      <w:bookmarkEnd w:id="0"/>
    </w:p>
    <w:p w14:paraId="42965104" w14:textId="616E1C90" w:rsidR="003771B8" w:rsidRDefault="003F34F9">
      <w:pPr>
        <w:pStyle w:val="ListParagraph"/>
        <w:numPr>
          <w:ilvl w:val="0"/>
          <w:numId w:val="1"/>
        </w:numPr>
        <w:tabs>
          <w:tab w:val="left" w:pos="450"/>
        </w:tabs>
        <w:ind w:left="450"/>
        <w:rPr>
          <w:sz w:val="24"/>
        </w:rPr>
      </w:pPr>
      <w:r>
        <w:rPr>
          <w:sz w:val="24"/>
        </w:rPr>
        <w:t>Safe</w:t>
      </w:r>
      <w:r w:rsidR="0010618A">
        <w:rPr>
          <w:sz w:val="24"/>
        </w:rPr>
        <w:t xml:space="preserve"> mapping, dosing and injection patterns</w:t>
      </w:r>
      <w:r w:rsidR="003F553B">
        <w:rPr>
          <w:sz w:val="24"/>
        </w:rPr>
        <w:t xml:space="preserve"> and</w:t>
      </w:r>
      <w:r>
        <w:rPr>
          <w:spacing w:val="77"/>
          <w:w w:val="150"/>
          <w:sz w:val="24"/>
        </w:rPr>
        <w:t xml:space="preserve"> </w:t>
      </w:r>
      <w:r w:rsidR="00AE13C8">
        <w:rPr>
          <w:spacing w:val="77"/>
          <w:w w:val="150"/>
          <w:sz w:val="24"/>
        </w:rPr>
        <w:t>injection</w:t>
      </w:r>
      <w:r w:rsidR="00AE13C8">
        <w:rPr>
          <w:sz w:val="24"/>
        </w:rPr>
        <w:t xml:space="preserve"> process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for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advanced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treatment</w:t>
      </w:r>
      <w:r>
        <w:rPr>
          <w:spacing w:val="77"/>
          <w:w w:val="150"/>
          <w:sz w:val="24"/>
        </w:rPr>
        <w:t xml:space="preserve"> </w:t>
      </w:r>
      <w:r w:rsidR="003F553B">
        <w:rPr>
          <w:spacing w:val="77"/>
          <w:w w:val="150"/>
          <w:sz w:val="24"/>
        </w:rPr>
        <w:t>areas</w:t>
      </w:r>
    </w:p>
    <w:p w14:paraId="1BAEE1CB" w14:textId="5BF3AB40" w:rsidR="003771B8" w:rsidRPr="003F553B" w:rsidRDefault="003F553B">
      <w:pPr>
        <w:pStyle w:val="ListParagraph"/>
        <w:numPr>
          <w:ilvl w:val="0"/>
          <w:numId w:val="1"/>
        </w:numPr>
        <w:tabs>
          <w:tab w:val="left" w:pos="450"/>
        </w:tabs>
        <w:spacing w:line="297" w:lineRule="auto"/>
        <w:ind w:left="450" w:right="857"/>
        <w:rPr>
          <w:sz w:val="24"/>
        </w:rPr>
      </w:pPr>
      <w:r>
        <w:rPr>
          <w:spacing w:val="10"/>
          <w:sz w:val="24"/>
        </w:rPr>
        <w:t>Essential client education and p</w:t>
      </w:r>
      <w:r w:rsidR="003F34F9">
        <w:rPr>
          <w:spacing w:val="10"/>
          <w:sz w:val="24"/>
        </w:rPr>
        <w:t>ost-</w:t>
      </w:r>
      <w:r w:rsidR="003F34F9">
        <w:rPr>
          <w:sz w:val="24"/>
        </w:rPr>
        <w:t>treatment</w:t>
      </w:r>
      <w:r w:rsidR="003F34F9">
        <w:rPr>
          <w:spacing w:val="80"/>
          <w:sz w:val="24"/>
        </w:rPr>
        <w:t xml:space="preserve"> </w:t>
      </w:r>
      <w:r w:rsidR="003F34F9">
        <w:rPr>
          <w:spacing w:val="9"/>
          <w:sz w:val="24"/>
        </w:rPr>
        <w:t>instructions</w:t>
      </w:r>
      <w:r>
        <w:rPr>
          <w:spacing w:val="9"/>
          <w:sz w:val="24"/>
        </w:rPr>
        <w:t xml:space="preserve"> including potential </w:t>
      </w:r>
      <w:r w:rsidR="003F34F9">
        <w:rPr>
          <w:sz w:val="24"/>
        </w:rPr>
        <w:t>adverse</w:t>
      </w:r>
      <w:r w:rsidR="003F34F9">
        <w:rPr>
          <w:spacing w:val="80"/>
          <w:sz w:val="24"/>
        </w:rPr>
        <w:t xml:space="preserve"> </w:t>
      </w:r>
      <w:r w:rsidR="003F34F9">
        <w:rPr>
          <w:sz w:val="24"/>
        </w:rPr>
        <w:t>reactions</w:t>
      </w:r>
      <w:r>
        <w:rPr>
          <w:sz w:val="24"/>
        </w:rPr>
        <w:t xml:space="preserve">, </w:t>
      </w:r>
      <w:r w:rsidR="003F34F9">
        <w:rPr>
          <w:spacing w:val="9"/>
          <w:sz w:val="24"/>
        </w:rPr>
        <w:t>complications</w:t>
      </w:r>
      <w:r>
        <w:rPr>
          <w:spacing w:val="9"/>
          <w:sz w:val="24"/>
        </w:rPr>
        <w:t xml:space="preserve"> </w:t>
      </w:r>
      <w:r w:rsidR="003F34F9">
        <w:rPr>
          <w:sz w:val="24"/>
        </w:rPr>
        <w:t>and</w:t>
      </w:r>
      <w:r w:rsidR="003F34F9">
        <w:rPr>
          <w:spacing w:val="80"/>
          <w:sz w:val="24"/>
        </w:rPr>
        <w:t xml:space="preserve"> </w:t>
      </w:r>
      <w:r w:rsidR="003F34F9">
        <w:rPr>
          <w:sz w:val="24"/>
        </w:rPr>
        <w:t>need</w:t>
      </w:r>
      <w:r w:rsidR="003F34F9">
        <w:rPr>
          <w:spacing w:val="40"/>
          <w:sz w:val="24"/>
        </w:rPr>
        <w:t xml:space="preserve"> </w:t>
      </w:r>
      <w:r w:rsidR="003F34F9">
        <w:rPr>
          <w:sz w:val="24"/>
        </w:rPr>
        <w:t xml:space="preserve">for </w:t>
      </w:r>
      <w:r w:rsidR="003F34F9">
        <w:rPr>
          <w:spacing w:val="10"/>
          <w:sz w:val="24"/>
        </w:rPr>
        <w:t>follow-</w:t>
      </w:r>
      <w:r w:rsidR="003F34F9">
        <w:rPr>
          <w:sz w:val="24"/>
        </w:rPr>
        <w:t>up</w:t>
      </w:r>
      <w:r w:rsidR="003F34F9">
        <w:rPr>
          <w:spacing w:val="40"/>
          <w:sz w:val="24"/>
        </w:rPr>
        <w:t xml:space="preserve"> </w:t>
      </w:r>
      <w:r w:rsidR="003F34F9">
        <w:rPr>
          <w:spacing w:val="10"/>
          <w:sz w:val="24"/>
        </w:rPr>
        <w:t>appointments</w:t>
      </w:r>
    </w:p>
    <w:p w14:paraId="508E0112" w14:textId="77777777" w:rsidR="003F553B" w:rsidRDefault="003F553B" w:rsidP="003F553B">
      <w:pPr>
        <w:pStyle w:val="NormalWeb"/>
        <w:shd w:val="clear" w:color="auto" w:fill="FFFFFF"/>
        <w:spacing w:before="0" w:beforeAutospacing="0" w:after="300" w:afterAutospacing="0"/>
        <w:ind w:left="453"/>
        <w:rPr>
          <w:rStyle w:val="maroon"/>
          <w:rFonts w:ascii="Open Sans" w:hAnsi="Open Sans" w:cs="Open Sans"/>
          <w:b/>
          <w:bCs/>
          <w:i/>
          <w:iCs/>
          <w:color w:val="8A100B"/>
        </w:rPr>
      </w:pPr>
    </w:p>
    <w:p w14:paraId="55725321" w14:textId="22AAF3BA" w:rsidR="003F553B" w:rsidRDefault="003F553B" w:rsidP="003F553B">
      <w:pPr>
        <w:pStyle w:val="NormalWeb"/>
        <w:shd w:val="clear" w:color="auto" w:fill="FFFFFF"/>
        <w:spacing w:before="0" w:beforeAutospacing="0" w:after="300" w:afterAutospacing="0"/>
        <w:ind w:left="453"/>
      </w:pPr>
      <w:r w:rsidRPr="003F553B">
        <w:rPr>
          <w:rStyle w:val="maroon"/>
          <w:rFonts w:ascii="ScalasansOT" w:hAnsi="ScalasansOT" w:cs="Open Sans"/>
          <w:b/>
          <w:bCs/>
          <w:i/>
          <w:iCs/>
          <w:color w:val="8A100B"/>
        </w:rPr>
        <w:t xml:space="preserve">We highly recommend that students invite their own models: 3 models per </w:t>
      </w:r>
      <w:r w:rsidRPr="003F553B">
        <w:rPr>
          <w:rStyle w:val="maroon"/>
          <w:rFonts w:ascii="ScalasansOT" w:hAnsi="ScalasansOT" w:cs="Open Sans"/>
          <w:b/>
          <w:bCs/>
          <w:i/>
          <w:iCs/>
          <w:color w:val="8A100B"/>
        </w:rPr>
        <w:t>3-hour</w:t>
      </w:r>
      <w:r w:rsidRPr="003F553B">
        <w:rPr>
          <w:rStyle w:val="maroon"/>
          <w:rFonts w:ascii="ScalasansOT" w:hAnsi="ScalasansOT" w:cs="Open Sans"/>
          <w:b/>
          <w:bCs/>
          <w:i/>
          <w:iCs/>
          <w:color w:val="8A100B"/>
        </w:rPr>
        <w:t xml:space="preserve"> session. All models should send an email to </w:t>
      </w:r>
      <w:r w:rsidRPr="003F553B">
        <w:rPr>
          <w:rStyle w:val="maroon"/>
          <w:rFonts w:ascii="ScalasansOT" w:hAnsi="ScalasansOT" w:cs="Open Sans"/>
          <w:b/>
          <w:bCs/>
          <w:i/>
          <w:iCs/>
          <w:color w:val="8A100B"/>
          <w:u w:val="single"/>
        </w:rPr>
        <w:t>models@lexrx.co</w:t>
      </w:r>
      <w:r w:rsidRPr="003F553B">
        <w:rPr>
          <w:rStyle w:val="maroon"/>
          <w:rFonts w:ascii="ScalasansOT" w:hAnsi="ScalasansOT" w:cs="Open Sans"/>
          <w:b/>
          <w:bCs/>
          <w:i/>
          <w:iCs/>
          <w:color w:val="8A100B"/>
        </w:rPr>
        <w:t> </w:t>
      </w:r>
      <w:r>
        <w:rPr>
          <w:rStyle w:val="maroon"/>
          <w:rFonts w:ascii="ScalasansOT" w:hAnsi="ScalasansOT" w:cs="Open Sans"/>
          <w:b/>
          <w:bCs/>
          <w:i/>
          <w:iCs/>
          <w:color w:val="8A100B"/>
        </w:rPr>
        <w:t xml:space="preserve">(NOT .com) </w:t>
      </w:r>
      <w:r w:rsidRPr="003F553B">
        <w:rPr>
          <w:rStyle w:val="maroon"/>
          <w:rFonts w:ascii="ScalasansOT" w:hAnsi="ScalasansOT" w:cs="Open Sans"/>
          <w:b/>
          <w:bCs/>
          <w:i/>
          <w:iCs/>
          <w:color w:val="8A100B"/>
        </w:rPr>
        <w:t xml:space="preserve">to </w:t>
      </w:r>
      <w:r>
        <w:rPr>
          <w:rStyle w:val="maroon"/>
          <w:rFonts w:ascii="ScalasansOT" w:hAnsi="ScalasansOT" w:cs="Open Sans"/>
          <w:b/>
          <w:bCs/>
          <w:i/>
          <w:iCs/>
          <w:color w:val="8A100B"/>
        </w:rPr>
        <w:t xml:space="preserve">register </w:t>
      </w:r>
      <w:r w:rsidRPr="003F553B">
        <w:rPr>
          <w:rStyle w:val="maroon"/>
          <w:rFonts w:ascii="ScalasansOT" w:hAnsi="ScalasansOT" w:cs="Open Sans"/>
          <w:b/>
          <w:bCs/>
          <w:i/>
          <w:iCs/>
          <w:color w:val="8A100B"/>
        </w:rPr>
        <w:t xml:space="preserve">and be assigned </w:t>
      </w:r>
      <w:r>
        <w:rPr>
          <w:rStyle w:val="maroon"/>
          <w:rFonts w:ascii="ScalasansOT" w:hAnsi="ScalasansOT" w:cs="Open Sans"/>
          <w:b/>
          <w:bCs/>
          <w:i/>
          <w:iCs/>
          <w:color w:val="8A100B"/>
        </w:rPr>
        <w:t>an appointment time for treatment</w:t>
      </w:r>
      <w:r>
        <w:rPr>
          <w:rStyle w:val="maroon"/>
          <w:rFonts w:ascii="Open Sans" w:hAnsi="Open Sans" w:cs="Open Sans"/>
          <w:b/>
          <w:bCs/>
          <w:i/>
          <w:iCs/>
          <w:color w:val="8A100B"/>
        </w:rPr>
        <w:t>.</w:t>
      </w:r>
    </w:p>
    <w:p w14:paraId="1F18EC55" w14:textId="77777777" w:rsidR="003771B8" w:rsidRDefault="003771B8">
      <w:pPr>
        <w:pStyle w:val="BodyText"/>
        <w:spacing w:before="8"/>
        <w:ind w:left="0" w:firstLine="0"/>
      </w:pPr>
    </w:p>
    <w:p w14:paraId="09CCA812" w14:textId="77777777" w:rsidR="003F34F9" w:rsidRPr="00253766" w:rsidRDefault="003F34F9" w:rsidP="003F34F9">
      <w:pPr>
        <w:spacing w:line="276" w:lineRule="auto"/>
        <w:ind w:left="90" w:right="171"/>
        <w:rPr>
          <w:bCs/>
          <w:sz w:val="24"/>
          <w:szCs w:val="20"/>
        </w:rPr>
      </w:pPr>
      <w:r w:rsidRPr="00253766">
        <w:rPr>
          <w:bCs/>
          <w:sz w:val="24"/>
          <w:szCs w:val="20"/>
        </w:rPr>
        <w:t>To successfully complete this program and receive Contact Hours, participants must register for the program, participate in the program and submit a completed evaluation.</w:t>
      </w:r>
    </w:p>
    <w:p w14:paraId="2399791F" w14:textId="48CD5F45" w:rsidR="003771B8" w:rsidRDefault="003771B8" w:rsidP="003F34F9">
      <w:pPr>
        <w:pStyle w:val="BodyText"/>
        <w:ind w:left="114" w:firstLine="0"/>
      </w:pPr>
    </w:p>
    <w:sectPr w:rsidR="003771B8">
      <w:type w:val="continuous"/>
      <w:pgSz w:w="12240" w:h="15840"/>
      <w:pgMar w:top="840" w:right="6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OT-Regular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ScalaSansOT-Bold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01" w:csb1="00000000"/>
  </w:font>
  <w:font w:name="ScalaOT-Bold">
    <w:altName w:val="Calibri"/>
    <w:panose1 w:val="00000000000000000000"/>
    <w:charset w:val="00"/>
    <w:family w:val="modern"/>
    <w:notTrueType/>
    <w:pitch w:val="variable"/>
    <w:sig w:usb0="800000AF" w:usb1="4000E05B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calasans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A53C1"/>
    <w:multiLevelType w:val="hybridMultilevel"/>
    <w:tmpl w:val="BD68EF36"/>
    <w:lvl w:ilvl="0" w:tplc="952EA402">
      <w:numFmt w:val="bullet"/>
      <w:lvlText w:val=""/>
      <w:lvlJc w:val="left"/>
      <w:pPr>
        <w:ind w:left="453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88A9584">
      <w:numFmt w:val="bullet"/>
      <w:lvlText w:val="•"/>
      <w:lvlJc w:val="left"/>
      <w:pPr>
        <w:ind w:left="958" w:hanging="320"/>
      </w:pPr>
      <w:rPr>
        <w:rFonts w:hint="default"/>
        <w:lang w:val="en-US" w:eastAsia="en-US" w:bidi="ar-SA"/>
      </w:rPr>
    </w:lvl>
    <w:lvl w:ilvl="2" w:tplc="7D384924">
      <w:numFmt w:val="bullet"/>
      <w:lvlText w:val="•"/>
      <w:lvlJc w:val="left"/>
      <w:pPr>
        <w:ind w:left="1456" w:hanging="320"/>
      </w:pPr>
      <w:rPr>
        <w:rFonts w:hint="default"/>
        <w:lang w:val="en-US" w:eastAsia="en-US" w:bidi="ar-SA"/>
      </w:rPr>
    </w:lvl>
    <w:lvl w:ilvl="3" w:tplc="466ADEB6">
      <w:numFmt w:val="bullet"/>
      <w:lvlText w:val="•"/>
      <w:lvlJc w:val="left"/>
      <w:pPr>
        <w:ind w:left="1954" w:hanging="320"/>
      </w:pPr>
      <w:rPr>
        <w:rFonts w:hint="default"/>
        <w:lang w:val="en-US" w:eastAsia="en-US" w:bidi="ar-SA"/>
      </w:rPr>
    </w:lvl>
    <w:lvl w:ilvl="4" w:tplc="80F254BE">
      <w:numFmt w:val="bullet"/>
      <w:lvlText w:val="•"/>
      <w:lvlJc w:val="left"/>
      <w:pPr>
        <w:ind w:left="2452" w:hanging="320"/>
      </w:pPr>
      <w:rPr>
        <w:rFonts w:hint="default"/>
        <w:lang w:val="en-US" w:eastAsia="en-US" w:bidi="ar-SA"/>
      </w:rPr>
    </w:lvl>
    <w:lvl w:ilvl="5" w:tplc="934C4ACC">
      <w:numFmt w:val="bullet"/>
      <w:lvlText w:val="•"/>
      <w:lvlJc w:val="left"/>
      <w:pPr>
        <w:ind w:left="2950" w:hanging="320"/>
      </w:pPr>
      <w:rPr>
        <w:rFonts w:hint="default"/>
        <w:lang w:val="en-US" w:eastAsia="en-US" w:bidi="ar-SA"/>
      </w:rPr>
    </w:lvl>
    <w:lvl w:ilvl="6" w:tplc="FC34F8C0">
      <w:numFmt w:val="bullet"/>
      <w:lvlText w:val="•"/>
      <w:lvlJc w:val="left"/>
      <w:pPr>
        <w:ind w:left="3448" w:hanging="320"/>
      </w:pPr>
      <w:rPr>
        <w:rFonts w:hint="default"/>
        <w:lang w:val="en-US" w:eastAsia="en-US" w:bidi="ar-SA"/>
      </w:rPr>
    </w:lvl>
    <w:lvl w:ilvl="7" w:tplc="998E5BB8">
      <w:numFmt w:val="bullet"/>
      <w:lvlText w:val="•"/>
      <w:lvlJc w:val="left"/>
      <w:pPr>
        <w:ind w:left="3946" w:hanging="320"/>
      </w:pPr>
      <w:rPr>
        <w:rFonts w:hint="default"/>
        <w:lang w:val="en-US" w:eastAsia="en-US" w:bidi="ar-SA"/>
      </w:rPr>
    </w:lvl>
    <w:lvl w:ilvl="8" w:tplc="14462982">
      <w:numFmt w:val="bullet"/>
      <w:lvlText w:val="•"/>
      <w:lvlJc w:val="left"/>
      <w:pPr>
        <w:ind w:left="4444" w:hanging="320"/>
      </w:pPr>
      <w:rPr>
        <w:rFonts w:hint="default"/>
        <w:lang w:val="en-US" w:eastAsia="en-US" w:bidi="ar-SA"/>
      </w:rPr>
    </w:lvl>
  </w:abstractNum>
  <w:num w:numId="1" w16cid:durableId="30200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71B8"/>
    <w:rsid w:val="0010618A"/>
    <w:rsid w:val="003771B8"/>
    <w:rsid w:val="003D1763"/>
    <w:rsid w:val="003F34F9"/>
    <w:rsid w:val="003F553B"/>
    <w:rsid w:val="00787E4C"/>
    <w:rsid w:val="00986E7A"/>
    <w:rsid w:val="00AE13C8"/>
    <w:rsid w:val="00F6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798A"/>
  <w15:docId w15:val="{6D1E40D5-2F16-4B32-B81D-3AB7ABD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calaSansOT-Regular" w:eastAsia="ScalaSansOT-Regular" w:hAnsi="ScalaSansOT-Regular" w:cs="ScalaSansOT-Regular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rFonts w:ascii="ScalaSansOT-Bold" w:eastAsia="ScalaSansOT-Bold" w:hAnsi="ScalaSansOT-Bold" w:cs="ScalaSansOT-Bold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 w:hanging="3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38" w:lineRule="exact"/>
      <w:ind w:left="114"/>
    </w:pPr>
    <w:rPr>
      <w:rFonts w:ascii="ScalaOT-Bold" w:eastAsia="ScalaOT-Bold" w:hAnsi="ScalaOT-Bold" w:cs="ScalaOT-Bold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4"/>
      <w:ind w:left="479" w:hanging="32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F55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oon">
    <w:name w:val="maroon"/>
    <w:basedOn w:val="DefaultParagraphFont"/>
    <w:rsid w:val="003F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Clincal Aesthetics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Clincal Aesthetics</dc:title>
  <dc:creator>Sonce</dc:creator>
  <cp:keywords>DAGhuhI9D8g,BAGN9A42yfY,0</cp:keywords>
  <cp:lastModifiedBy>Mary Moriarty</cp:lastModifiedBy>
  <cp:revision>3</cp:revision>
  <dcterms:created xsi:type="dcterms:W3CDTF">2025-04-25T21:56:00Z</dcterms:created>
  <dcterms:modified xsi:type="dcterms:W3CDTF">2025-04-25T21:56:00Z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2025-04-17T00:00:00Z</vt:filetime>
  </property>
  <property fmtid="{D5CDD505-2E9C-101B-9397-08002B2CF9AE}" pid="5" name="Producer">
    <vt:lpwstr>Canva</vt:lpwstr>
  </property>
</Properties>
</file>